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 w:themeFill="background1"/>
        <w:ind w:firstLine="723"/>
        <w:jc w:val="center"/>
        <w:outlineLvl w:val="0"/>
        <w:rPr>
          <w:rFonts w:cs="Times New Roman"/>
          <w:b/>
          <w:color w:val="auto"/>
          <w:sz w:val="36"/>
          <w:szCs w:val="36"/>
        </w:rPr>
      </w:pPr>
      <w:bookmarkStart w:id="0" w:name="_Toc24764"/>
      <w:bookmarkStart w:id="1" w:name="_Toc11705"/>
      <w:r>
        <w:rPr>
          <w:rFonts w:hint="eastAsia" w:eastAsia="宋体" w:cs="Times New Roman"/>
          <w:b/>
          <w:color w:val="auto"/>
          <w:sz w:val="36"/>
          <w:szCs w:val="36"/>
        </w:rPr>
        <w:t>2022年度路灯看护维护费自评结果</w:t>
      </w:r>
      <w:bookmarkEnd w:id="0"/>
      <w:bookmarkEnd w:id="1"/>
    </w:p>
    <w:p>
      <w:pPr>
        <w:pStyle w:val="26"/>
        <w:shd w:val="clear" w:color="auto" w:fill="FFFFFF" w:themeFill="background1"/>
        <w:spacing w:line="560" w:lineRule="exact"/>
        <w:ind w:firstLine="0" w:firstLineChars="0"/>
        <w:jc w:val="center"/>
        <w:outlineLvl w:val="0"/>
        <w:rPr>
          <w:rFonts w:ascii="楷体" w:hAnsi="楷体" w:eastAsia="楷体" w:cs="楷体"/>
          <w:b/>
          <w:sz w:val="32"/>
        </w:rPr>
      </w:pPr>
      <w:bookmarkStart w:id="2" w:name="_Toc27748"/>
      <w:bookmarkStart w:id="3" w:name="_Toc15949"/>
      <w:bookmarkStart w:id="4" w:name="_Toc25753"/>
      <w:r>
        <w:rPr>
          <w:rFonts w:hint="eastAsia" w:ascii="楷体" w:hAnsi="楷体" w:eastAsia="楷体" w:cs="楷体"/>
          <w:b/>
          <w:sz w:val="32"/>
        </w:rPr>
        <w:t>（缩略版）</w:t>
      </w:r>
      <w:bookmarkEnd w:id="2"/>
      <w:bookmarkEnd w:id="3"/>
      <w:bookmarkEnd w:id="4"/>
    </w:p>
    <w:p>
      <w:pPr>
        <w:pStyle w:val="26"/>
        <w:shd w:val="clear" w:color="auto" w:fill="FFFFFF" w:themeFill="background1"/>
        <w:spacing w:line="560" w:lineRule="exact"/>
        <w:ind w:firstLine="643"/>
        <w:jc w:val="both"/>
        <w:outlineLvl w:val="0"/>
        <w:rPr>
          <w:rFonts w:ascii="Times New Roman" w:hAnsi="Times New Roman" w:eastAsia="黑体"/>
          <w:b/>
          <w:sz w:val="32"/>
        </w:rPr>
      </w:pPr>
      <w:bookmarkStart w:id="5" w:name="_Toc27312"/>
      <w:bookmarkStart w:id="6" w:name="_Toc17316"/>
      <w:bookmarkStart w:id="7" w:name="_Toc26153"/>
      <w:bookmarkStart w:id="8" w:name="_Toc11888"/>
      <w:r>
        <w:rPr>
          <w:rFonts w:hint="eastAsia" w:ascii="Times New Roman" w:hAnsi="Times New Roman" w:eastAsia="黑体"/>
          <w:b/>
          <w:sz w:val="32"/>
        </w:rPr>
        <w:t>一、自评</w:t>
      </w:r>
      <w:r>
        <w:rPr>
          <w:rFonts w:ascii="Times New Roman" w:hAnsi="Times New Roman" w:eastAsia="黑体"/>
          <w:b/>
          <w:sz w:val="32"/>
        </w:rPr>
        <w:t>结论</w:t>
      </w:r>
      <w:bookmarkEnd w:id="5"/>
      <w:bookmarkEnd w:id="6"/>
      <w:bookmarkEnd w:id="7"/>
      <w:bookmarkEnd w:id="8"/>
    </w:p>
    <w:p>
      <w:pPr>
        <w:pStyle w:val="4"/>
        <w:shd w:val="clear" w:color="auto" w:fill="FFFFFF" w:themeFill="background1"/>
        <w:spacing w:before="0" w:after="0" w:line="560" w:lineRule="exact"/>
        <w:ind w:firstLine="643"/>
        <w:contextualSpacing/>
        <w:jc w:val="left"/>
        <w:rPr>
          <w:rFonts w:ascii="Times New Roman" w:hAnsi="Times New Roman" w:eastAsia="楷体" w:cs="Times New Roman"/>
        </w:rPr>
      </w:pPr>
      <w:bookmarkStart w:id="9" w:name="_Toc22037"/>
      <w:bookmarkStart w:id="10" w:name="_Toc31042"/>
      <w:bookmarkStart w:id="11" w:name="_Toc24793"/>
      <w:bookmarkStart w:id="12" w:name="_Toc27117"/>
      <w:r>
        <w:rPr>
          <w:rFonts w:hint="eastAsia" w:ascii="Times New Roman" w:hAnsi="Times New Roman" w:eastAsia="楷体" w:cs="Times New Roman"/>
        </w:rPr>
        <w:t>（一）自评得分</w:t>
      </w:r>
      <w:bookmarkEnd w:id="9"/>
      <w:bookmarkEnd w:id="10"/>
      <w:bookmarkEnd w:id="11"/>
      <w:bookmarkEnd w:id="12"/>
    </w:p>
    <w:p>
      <w:pPr>
        <w:ind w:firstLine="640"/>
        <w:rPr>
          <w:rFonts w:cs="Times New Roman"/>
          <w:color w:val="auto"/>
          <w:kern w:val="0"/>
          <w:szCs w:val="32"/>
        </w:rPr>
      </w:pPr>
      <w:r>
        <w:rPr>
          <w:rFonts w:hint="eastAsia"/>
        </w:rPr>
        <w:t>武汉经济技术开发区（汉南区）住房和建设局2022年度路灯看护维护费</w:t>
      </w:r>
      <w:r>
        <w:t>绩效评价综合得分为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9</w:t>
      </w:r>
      <w:r>
        <w:rPr>
          <w:rFonts w:hint="eastAsia"/>
        </w:rPr>
        <w:t>.53</w:t>
      </w:r>
      <w:r>
        <w:t>分。</w:t>
      </w:r>
    </w:p>
    <w:p>
      <w:pPr>
        <w:pStyle w:val="4"/>
        <w:shd w:val="clear" w:color="auto" w:fill="FFFFFF" w:themeFill="background1"/>
        <w:spacing w:before="0" w:after="0" w:line="560" w:lineRule="exact"/>
        <w:ind w:firstLine="643"/>
        <w:contextualSpacing/>
        <w:jc w:val="left"/>
        <w:rPr>
          <w:rFonts w:ascii="Times New Roman" w:hAnsi="Times New Roman" w:eastAsia="楷体" w:cs="Times New Roman"/>
        </w:rPr>
      </w:pPr>
      <w:bookmarkStart w:id="13" w:name="_Toc17113"/>
      <w:bookmarkStart w:id="14" w:name="_Toc6277"/>
      <w:bookmarkStart w:id="15" w:name="_Toc19004"/>
      <w:bookmarkStart w:id="16" w:name="_Toc16152"/>
      <w:r>
        <w:rPr>
          <w:rFonts w:hint="eastAsia" w:ascii="Times New Roman" w:hAnsi="Times New Roman" w:eastAsia="楷体" w:cs="Times New Roman"/>
        </w:rPr>
        <w:t>（二）绩效目标完成情况</w:t>
      </w:r>
      <w:bookmarkEnd w:id="13"/>
      <w:bookmarkEnd w:id="14"/>
      <w:bookmarkEnd w:id="15"/>
      <w:bookmarkEnd w:id="16"/>
    </w:p>
    <w:p>
      <w:pPr>
        <w:ind w:firstLine="640"/>
        <w:rPr>
          <w:bCs/>
          <w:szCs w:val="32"/>
        </w:rPr>
      </w:pPr>
      <w:r>
        <w:rPr>
          <w:rFonts w:hint="eastAsia"/>
          <w:bCs/>
          <w:szCs w:val="32"/>
        </w:rPr>
        <w:t>1.执行率情况。</w:t>
      </w:r>
      <w:r>
        <w:rPr>
          <w:rFonts w:hint="eastAsia"/>
        </w:rPr>
        <w:t>2022年度项目预算金额为2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190.53万元。本项目年度实际支出2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138.96万元，预算执行率为97.65%</w:t>
      </w:r>
      <w:r>
        <w:t>。</w:t>
      </w:r>
    </w:p>
    <w:p>
      <w:pPr>
        <w:ind w:firstLine="640"/>
        <w:rPr>
          <w:bCs/>
          <w:szCs w:val="32"/>
        </w:rPr>
      </w:pPr>
      <w:r>
        <w:rPr>
          <w:rFonts w:hint="eastAsia"/>
          <w:bCs/>
          <w:szCs w:val="32"/>
        </w:rPr>
        <w:t>2.完成的绩效目标。</w:t>
      </w:r>
      <w:r>
        <w:rPr>
          <w:rFonts w:hint="eastAsia"/>
        </w:rPr>
        <w:t>本项目共设置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个绩效指标，完成了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个。资金使用较为规范，项目产出较好，并取得了较好的社会效益。</w:t>
      </w:r>
    </w:p>
    <w:p>
      <w:pPr>
        <w:ind w:firstLine="640"/>
        <w:rPr>
          <w:rFonts w:hint="eastAsia"/>
          <w:bCs/>
          <w:szCs w:val="32"/>
        </w:rPr>
      </w:pPr>
      <w:r>
        <w:rPr>
          <w:rFonts w:hint="eastAsia"/>
          <w:bCs/>
          <w:szCs w:val="32"/>
        </w:rPr>
        <w:t>3.未完成的绩效目标。</w:t>
      </w:r>
    </w:p>
    <w:p>
      <w:pPr>
        <w:ind w:firstLine="640"/>
        <w:rPr>
          <w:rFonts w:hint="eastAsia"/>
          <w:bCs/>
          <w:szCs w:val="32"/>
        </w:rPr>
      </w:pPr>
      <w:r>
        <w:rPr>
          <w:rFonts w:hint="eastAsia"/>
          <w:bCs/>
          <w:szCs w:val="32"/>
          <w:lang w:eastAsia="zh-CN"/>
        </w:rPr>
        <w:t>（</w:t>
      </w:r>
      <w:r>
        <w:rPr>
          <w:rFonts w:hint="eastAsia"/>
          <w:bCs/>
          <w:szCs w:val="32"/>
          <w:lang w:val="en-US" w:eastAsia="zh-CN"/>
        </w:rPr>
        <w:t>1）</w:t>
      </w:r>
      <w:r>
        <w:rPr>
          <w:rFonts w:hint="eastAsia"/>
          <w:bCs/>
          <w:szCs w:val="32"/>
        </w:rPr>
        <w:t>预算未完全执行，主要原因</w:t>
      </w:r>
      <w:r>
        <w:rPr>
          <w:rFonts w:hint="eastAsia"/>
          <w:bCs/>
          <w:szCs w:val="32"/>
          <w:lang w:val="en-US" w:eastAsia="zh-CN"/>
        </w:rPr>
        <w:t>2022年度</w:t>
      </w:r>
      <w:r>
        <w:rPr>
          <w:rFonts w:hint="eastAsia"/>
          <w:bCs/>
          <w:szCs w:val="32"/>
        </w:rPr>
        <w:t>路灯</w:t>
      </w:r>
      <w:r>
        <w:rPr>
          <w:rFonts w:hint="eastAsia"/>
          <w:bCs/>
          <w:szCs w:val="32"/>
          <w:lang w:val="en-US" w:eastAsia="zh-CN"/>
        </w:rPr>
        <w:t>看护</w:t>
      </w:r>
      <w:r>
        <w:rPr>
          <w:rFonts w:hint="eastAsia"/>
          <w:bCs/>
          <w:szCs w:val="32"/>
        </w:rPr>
        <w:t>维护费</w:t>
      </w:r>
      <w:r>
        <w:rPr>
          <w:rFonts w:hint="eastAsia"/>
          <w:bCs/>
          <w:szCs w:val="32"/>
          <w:lang w:val="en-US" w:eastAsia="zh-CN"/>
        </w:rPr>
        <w:t>合同总金额1,446.1万元，另外临时性路灯抢修费</w:t>
      </w:r>
      <w:r>
        <w:rPr>
          <w:rFonts w:hint="eastAsia"/>
          <w:bCs/>
          <w:szCs w:val="32"/>
        </w:rPr>
        <w:t>据实支出，与预算有差异，节约了财政资金。</w:t>
      </w:r>
    </w:p>
    <w:p>
      <w:pPr>
        <w:pStyle w:val="4"/>
        <w:shd w:val="clear" w:color="auto" w:fill="FFFFFF" w:themeFill="background1"/>
        <w:spacing w:before="0" w:after="0" w:line="560" w:lineRule="exact"/>
        <w:ind w:firstLine="643"/>
        <w:contextualSpacing/>
        <w:jc w:val="left"/>
        <w:rPr>
          <w:rFonts w:ascii="Times New Roman" w:hAnsi="Times New Roman" w:eastAsia="楷体" w:cs="Times New Roman"/>
        </w:rPr>
      </w:pPr>
      <w:bookmarkStart w:id="17" w:name="_Toc14306"/>
      <w:bookmarkStart w:id="18" w:name="_Toc30659"/>
      <w:bookmarkStart w:id="19" w:name="_Toc12544"/>
      <w:bookmarkStart w:id="20" w:name="_Toc24094"/>
      <w:bookmarkStart w:id="21" w:name="_Toc49867096"/>
      <w:r>
        <w:rPr>
          <w:rFonts w:hint="eastAsia" w:ascii="Times New Roman" w:hAnsi="Times New Roman" w:eastAsia="楷体" w:cs="Times New Roman"/>
        </w:rPr>
        <w:t>（三）存在的问题和原因</w:t>
      </w:r>
      <w:bookmarkEnd w:id="17"/>
      <w:bookmarkEnd w:id="18"/>
      <w:bookmarkEnd w:id="19"/>
      <w:bookmarkEnd w:id="20"/>
      <w:bookmarkEnd w:id="21"/>
    </w:p>
    <w:p>
      <w:pPr>
        <w:widowControl/>
        <w:spacing w:line="360" w:lineRule="auto"/>
        <w:ind w:firstLine="643"/>
        <w:outlineLvl w:val="2"/>
        <w:rPr>
          <w:rFonts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bookmarkStart w:id="22" w:name="_Toc3644"/>
      <w:r>
        <w:rPr>
          <w:rFonts w:hint="eastAsia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1.上年度绩效评价结果应用情况</w:t>
      </w:r>
      <w:bookmarkEnd w:id="22"/>
    </w:p>
    <w:p>
      <w:pPr>
        <w:ind w:firstLine="640"/>
        <w:rPr>
          <w:bCs/>
          <w:szCs w:val="32"/>
        </w:rPr>
      </w:pPr>
      <w:r>
        <w:rPr>
          <w:rFonts w:hint="eastAsia"/>
          <w:bCs/>
          <w:szCs w:val="32"/>
        </w:rPr>
        <w:t>本项目上年度实施了绩效自评并形成了项目自评报告。对上年度绩效评价结果的具体应用体现在绩效指标进行了优化，调整了部分路灯维护的数量指标，增加了“电费支付完成率100%”指标。</w:t>
      </w:r>
    </w:p>
    <w:p>
      <w:pPr>
        <w:widowControl/>
        <w:spacing w:line="360" w:lineRule="auto"/>
        <w:ind w:firstLine="643"/>
        <w:outlineLvl w:val="2"/>
        <w:rPr>
          <w:rFonts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bookmarkStart w:id="23" w:name="_Toc29819"/>
      <w:r>
        <w:rPr>
          <w:rFonts w:hint="eastAsia" w:cs="Times New Roman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2.本年度绩效管理中存在的问题和原因</w:t>
      </w:r>
      <w:bookmarkEnd w:id="23"/>
    </w:p>
    <w:p>
      <w:pPr>
        <w:ind w:firstLine="640"/>
        <w:rPr>
          <w:bCs/>
          <w:szCs w:val="32"/>
        </w:rPr>
      </w:pPr>
      <w:r>
        <w:rPr>
          <w:rFonts w:hint="eastAsia"/>
          <w:bCs/>
          <w:szCs w:val="32"/>
        </w:rPr>
        <w:t>（1）成本指标不够细化。本项目2022年项目申报表中缺乏横向考核指标，根据项目特点设置经开片区与汉南片区的指标对比，分季度对两个片区实施路灯看护、维护工作进行成本、效果的对比考核。例如：区分出经开片区与汉南片区的看护率与维护覆盖率。</w:t>
      </w:r>
    </w:p>
    <w:p>
      <w:pPr>
        <w:pStyle w:val="4"/>
        <w:shd w:val="clear" w:color="auto" w:fill="FFFFFF" w:themeFill="background1"/>
        <w:spacing w:before="0" w:after="0" w:line="560" w:lineRule="exact"/>
        <w:ind w:firstLine="643"/>
        <w:contextualSpacing/>
        <w:jc w:val="left"/>
        <w:rPr>
          <w:rFonts w:ascii="Times New Roman" w:hAnsi="Times New Roman" w:eastAsia="楷体" w:cs="Times New Roman"/>
        </w:rPr>
      </w:pPr>
      <w:bookmarkStart w:id="24" w:name="_Toc8732"/>
      <w:bookmarkStart w:id="25" w:name="_Toc11879"/>
      <w:bookmarkStart w:id="26" w:name="_Toc9638"/>
      <w:bookmarkStart w:id="27" w:name="_Toc10441"/>
      <w:r>
        <w:rPr>
          <w:rFonts w:hint="eastAsia" w:ascii="Times New Roman" w:hAnsi="Times New Roman" w:eastAsia="楷体" w:cs="Times New Roman"/>
        </w:rPr>
        <w:t>（四）下一步拟改进措施</w:t>
      </w:r>
      <w:bookmarkEnd w:id="24"/>
      <w:bookmarkEnd w:id="25"/>
      <w:bookmarkEnd w:id="26"/>
      <w:bookmarkEnd w:id="27"/>
    </w:p>
    <w:p>
      <w:pPr>
        <w:widowControl/>
        <w:spacing w:line="360" w:lineRule="auto"/>
        <w:ind w:firstLine="643"/>
        <w:outlineLvl w:val="2"/>
        <w:rPr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1.下一步拟改进措施</w:t>
      </w:r>
    </w:p>
    <w:p>
      <w:pPr>
        <w:ind w:firstLine="640"/>
        <w:rPr>
          <w:szCs w:val="32"/>
        </w:rPr>
      </w:pPr>
      <w:r>
        <w:rPr>
          <w:rFonts w:hint="eastAsia"/>
          <w:szCs w:val="32"/>
        </w:rPr>
        <w:t>提高预算绩效指标编制水平。结合上一年度预算执行情况和本年度工作重点，合理编制绩效目标指标体系。加强服务片区之间的考核力度。</w:t>
      </w:r>
    </w:p>
    <w:p>
      <w:pPr>
        <w:widowControl/>
        <w:spacing w:line="360" w:lineRule="auto"/>
        <w:ind w:firstLine="643"/>
        <w:outlineLvl w:val="2"/>
        <w:rPr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2.拟与预算安排相结合情况</w:t>
      </w:r>
    </w:p>
    <w:p>
      <w:pPr>
        <w:pStyle w:val="2"/>
        <w:spacing w:after="0" w:line="360" w:lineRule="auto"/>
        <w:ind w:firstLine="64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本项目绩效指标设置不够完善。通过本次自评，梳理项目内容，完善绩效指标编制。拟将数量指标调整为“经开片区路灯看护率”、“汉南片区路灯看护率”、“经开片区路灯维护覆盖率”“汉南片区路灯维护覆盖率”，各指标值根据工作需要进行调整。</w:t>
      </w:r>
    </w:p>
    <w:p>
      <w:pPr>
        <w:ind w:firstLine="640"/>
      </w:pPr>
      <w:r>
        <w:rPr>
          <w:rFonts w:hint="eastAsia"/>
          <w:bCs/>
          <w:szCs w:val="32"/>
        </w:rPr>
        <w:t>附件：2022年度路灯看护维护费自评表</w:t>
      </w:r>
    </w:p>
    <w:p>
      <w:pPr>
        <w:ind w:firstLineChars="175"/>
        <w:rPr>
          <w:rFonts w:eastAsia="楷体" w:cs="Times New Roman"/>
        </w:rPr>
      </w:pPr>
      <w:r>
        <w:rPr>
          <w:rFonts w:hint="eastAsia" w:cs="Times New Roman"/>
          <w:color w:val="auto"/>
          <w:kern w:val="0"/>
          <w:szCs w:val="32"/>
        </w:rPr>
        <w:br w:type="page"/>
      </w:r>
      <w:bookmarkStart w:id="28" w:name="_Toc16053"/>
      <w:bookmarkStart w:id="29" w:name="_Toc29700"/>
      <w:bookmarkStart w:id="30" w:name="_Toc11755"/>
      <w:bookmarkStart w:id="31" w:name="_Toc3349"/>
      <w:r>
        <w:rPr>
          <w:rFonts w:hint="eastAsia" w:eastAsia="楷体" w:cs="Times New Roman"/>
        </w:rPr>
        <w:t>附件：</w:t>
      </w:r>
    </w:p>
    <w:tbl>
      <w:tblPr>
        <w:tblStyle w:val="28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976"/>
        <w:gridCol w:w="1717"/>
        <w:gridCol w:w="1776"/>
        <w:gridCol w:w="1283"/>
        <w:gridCol w:w="1508"/>
        <w:gridCol w:w="127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b/>
                <w:bCs/>
                <w:kern w:val="0"/>
                <w:szCs w:val="32"/>
              </w:rPr>
            </w:pPr>
            <w:r>
              <w:rPr>
                <w:rFonts w:hint="eastAsia" w:ascii="仿宋" w:hAnsi="仿宋"/>
                <w:b/>
                <w:bCs/>
                <w:kern w:val="0"/>
                <w:szCs w:val="32"/>
              </w:rPr>
              <w:t xml:space="preserve">2022年度路灯看护维护费项目自评表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5000" w:type="pct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 xml:space="preserve">单位名称：武汉经济技术开发区（汉南区）住房和建设局                         </w:t>
            </w:r>
          </w:p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填报日期：2023年4月20日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416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路灯看护维护费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1928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武汉经济技术开发区（汉南区）</w:t>
            </w:r>
          </w:p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住房和建设局</w:t>
            </w:r>
          </w:p>
        </w:tc>
        <w:tc>
          <w:tcPr>
            <w:tcW w:w="7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项目实施单位</w:t>
            </w:r>
          </w:p>
        </w:tc>
        <w:tc>
          <w:tcPr>
            <w:tcW w:w="1533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>路灯管理所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项目类别</w:t>
            </w:r>
          </w:p>
        </w:tc>
        <w:tc>
          <w:tcPr>
            <w:tcW w:w="416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 xml:space="preserve">1.部门预算项目    </w:t>
            </w:r>
            <w:r>
              <w:rPr>
                <w:rFonts w:ascii="Wingdings" w:hAnsi="Wingdings"/>
                <w:kern w:val="0"/>
                <w:sz w:val="20"/>
                <w:szCs w:val="20"/>
              </w:rPr>
              <w:sym w:font="Wingdings" w:char="00FE"/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 xml:space="preserve">           2.财政专项资金   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项目属性</w:t>
            </w:r>
          </w:p>
        </w:tc>
        <w:tc>
          <w:tcPr>
            <w:tcW w:w="416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 xml:space="preserve">1.持续性项目      </w:t>
            </w:r>
            <w:r>
              <w:rPr>
                <w:rFonts w:ascii="Wingdings" w:hAnsi="Wingdings"/>
                <w:kern w:val="0"/>
                <w:sz w:val="20"/>
                <w:szCs w:val="20"/>
              </w:rPr>
              <w:t>þ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 xml:space="preserve">           2.新增性项目     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416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 xml:space="preserve">1.常年性项目      </w:t>
            </w:r>
            <w:r>
              <w:rPr>
                <w:rFonts w:ascii="Wingdings" w:hAnsi="Wingdings"/>
                <w:kern w:val="0"/>
                <w:sz w:val="20"/>
                <w:szCs w:val="20"/>
              </w:rPr>
              <w:t>þ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 xml:space="preserve">           2.延续性项目     □     3.一次性项目    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83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预算执行情况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（万元）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948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年度财政资金总额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预算数（A）</w:t>
            </w:r>
          </w:p>
        </w:tc>
        <w:tc>
          <w:tcPr>
            <w:tcW w:w="7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执行数（B）</w:t>
            </w: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执行率(B/A)</w:t>
            </w:r>
          </w:p>
        </w:tc>
        <w:tc>
          <w:tcPr>
            <w:tcW w:w="7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得分(20分*执行率)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830" w:type="pct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48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2</w:t>
            </w: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190.53</w:t>
            </w:r>
          </w:p>
        </w:tc>
        <w:tc>
          <w:tcPr>
            <w:tcW w:w="7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2</w:t>
            </w: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,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138.96</w:t>
            </w: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97.65%</w:t>
            </w:r>
          </w:p>
        </w:tc>
        <w:tc>
          <w:tcPr>
            <w:tcW w:w="7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19.53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291" w:type="pct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textDirection w:val="tbRlV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年度绩效目标</w:t>
            </w:r>
          </w:p>
        </w:tc>
        <w:tc>
          <w:tcPr>
            <w:tcW w:w="53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一级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指标名称</w:t>
            </w:r>
          </w:p>
        </w:tc>
        <w:tc>
          <w:tcPr>
            <w:tcW w:w="7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年初目标值（A）</w:t>
            </w: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实际完成值（B）</w:t>
            </w:r>
          </w:p>
        </w:tc>
        <w:tc>
          <w:tcPr>
            <w:tcW w:w="700" w:type="pct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9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67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产出</w:t>
            </w:r>
          </w:p>
          <w:p>
            <w:pPr>
              <w:widowControl/>
              <w:tabs>
                <w:tab w:val="left" w:pos="467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指标</w:t>
            </w:r>
          </w:p>
          <w:p>
            <w:pPr>
              <w:widowControl/>
              <w:tabs>
                <w:tab w:val="left" w:pos="467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（50分）</w:t>
            </w: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数量指标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（5分）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经开片区路灯</w:t>
            </w:r>
          </w:p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看护率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100%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100%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9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tabs>
                <w:tab w:val="left" w:pos="467"/>
              </w:tabs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40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数量指标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（5分）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汉南片区路灯</w:t>
            </w:r>
          </w:p>
          <w:p>
            <w:pPr>
              <w:widowControl/>
              <w:spacing w:line="240" w:lineRule="auto"/>
              <w:ind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看护率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100%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100%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9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40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数量指标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（5分）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经开片区路灯</w:t>
            </w:r>
          </w:p>
          <w:p>
            <w:pPr>
              <w:widowControl/>
              <w:spacing w:line="240" w:lineRule="auto"/>
              <w:ind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维护覆盖率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100%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100%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9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40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数量指标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（5分）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汉南片区路灯</w:t>
            </w:r>
          </w:p>
          <w:p>
            <w:pPr>
              <w:widowControl/>
              <w:spacing w:line="240" w:lineRule="auto"/>
              <w:ind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维护覆盖率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100%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100%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9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数量指标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分）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电费支付完成率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100%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100%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9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质量指标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5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分）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路灯亮灯率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≥98%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99.5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%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9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质量指标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（</w:t>
            </w: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分）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事故发生率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0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0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9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8" w:type="pct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时效指标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ascii="仿宋" w:hAnsi="仿宋"/>
                <w:kern w:val="0"/>
                <w:sz w:val="20"/>
                <w:szCs w:val="20"/>
              </w:rPr>
              <w:t>城市路灯应急</w:t>
            </w:r>
          </w:p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ascii="仿宋" w:hAnsi="仿宋"/>
                <w:kern w:val="0"/>
                <w:sz w:val="20"/>
                <w:szCs w:val="20"/>
              </w:rPr>
              <w:t>及时性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仿宋" w:hAnsi="仿宋" w:eastAsia="仿宋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2小时响应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＜2小时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9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效益</w:t>
            </w:r>
          </w:p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指标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（20分）</w:t>
            </w:r>
          </w:p>
        </w:tc>
        <w:tc>
          <w:tcPr>
            <w:tcW w:w="948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社会效益（20分）</w:t>
            </w: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 xml:space="preserve">城市路灯改善度 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default" w:ascii="仿宋" w:hAnsi="仿宋" w:eastAsia="仿宋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有所改善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有所改善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9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8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48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97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70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可持续</w:t>
            </w:r>
          </w:p>
        </w:tc>
        <w:tc>
          <w:tcPr>
            <w:tcW w:w="83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hint="eastAsia" w:ascii="仿宋" w:hAnsi="仿宋" w:eastAsia="仿宋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具</w:t>
            </w: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有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可持续</w:t>
            </w: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性</w:t>
            </w:r>
          </w:p>
        </w:tc>
        <w:tc>
          <w:tcPr>
            <w:tcW w:w="70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291" w:type="pct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</w:p>
        </w:tc>
        <w:tc>
          <w:tcPr>
            <w:tcW w:w="538" w:type="pc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满意度指标</w:t>
            </w:r>
          </w:p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9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社会公众或服务对象满意度指标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（10分）</w:t>
            </w:r>
          </w:p>
        </w:tc>
        <w:tc>
          <w:tcPr>
            <w:tcW w:w="97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70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≥95%</w:t>
            </w:r>
          </w:p>
        </w:tc>
        <w:tc>
          <w:tcPr>
            <w:tcW w:w="832" w:type="pct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95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%</w:t>
            </w:r>
          </w:p>
        </w:tc>
        <w:tc>
          <w:tcPr>
            <w:tcW w:w="700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91" w:type="pct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left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总分</w:t>
            </w:r>
          </w:p>
        </w:tc>
        <w:tc>
          <w:tcPr>
            <w:tcW w:w="4708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9</w:t>
            </w: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9.53</w:t>
            </w:r>
            <w:r>
              <w:rPr>
                <w:rFonts w:hint="eastAsia" w:ascii="仿宋" w:hAnsi="仿宋"/>
                <w:kern w:val="0"/>
                <w:sz w:val="20"/>
                <w:szCs w:val="20"/>
              </w:rPr>
              <w:t>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1" w:hRule="atLeast"/>
        </w:trPr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  <w:lang w:val="en-US" w:eastAsia="zh-CN"/>
              </w:rPr>
              <w:t>偏差大或目标未完成原因分析</w:t>
            </w:r>
          </w:p>
        </w:tc>
        <w:tc>
          <w:tcPr>
            <w:tcW w:w="4169" w:type="pct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left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预算未完全执行，主要原因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2022年度路灯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看护维护费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合同总金额1446.1万元，另外临时性路灯抢修费据实支出，与预算有差异，节约了财政资金。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3" w:hRule="atLeast"/>
        </w:trPr>
        <w:tc>
          <w:tcPr>
            <w:tcW w:w="83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auto"/>
              <w:ind w:firstLine="0" w:firstLineChars="0"/>
              <w:jc w:val="center"/>
              <w:rPr>
                <w:rFonts w:ascii="仿宋" w:hAnsi="仿宋"/>
                <w:kern w:val="0"/>
                <w:sz w:val="20"/>
                <w:szCs w:val="20"/>
              </w:rPr>
            </w:pPr>
            <w:r>
              <w:rPr>
                <w:rFonts w:hint="eastAsia" w:ascii="仿宋" w:hAnsi="仿宋"/>
                <w:kern w:val="0"/>
                <w:sz w:val="20"/>
                <w:szCs w:val="20"/>
              </w:rPr>
              <w:t>改进措施及结果应用方案</w:t>
            </w:r>
          </w:p>
        </w:tc>
        <w:tc>
          <w:tcPr>
            <w:tcW w:w="4169" w:type="pct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auto"/>
              <w:jc w:val="left"/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对于电费、运维费等常年稳定发生的项目，在确保项目顺利开展的情况下，科学调整预算，对不可预见性的临时抢修项目可参考根据历年数据预测，提高资金使用效率。</w:t>
            </w:r>
          </w:p>
        </w:tc>
      </w:tr>
    </w:tbl>
    <w:p>
      <w:pPr>
        <w:pStyle w:val="2"/>
        <w:ind w:firstLine="640"/>
      </w:pPr>
    </w:p>
    <w:bookmarkEnd w:id="28"/>
    <w:bookmarkEnd w:id="29"/>
    <w:bookmarkEnd w:id="30"/>
    <w:bookmarkEnd w:id="31"/>
    <w:p>
      <w:pPr>
        <w:pStyle w:val="3"/>
        <w:pageBreakBefore/>
        <w:shd w:val="clear" w:color="auto" w:fill="FFFFFF" w:themeFill="background1"/>
        <w:spacing w:line="360" w:lineRule="auto"/>
        <w:ind w:firstLine="643"/>
        <w:rPr>
          <w:rFonts w:ascii="Times New Roman" w:hAnsi="Times New Roman" w:cs="Times New Roman"/>
        </w:rPr>
      </w:pPr>
      <w:bookmarkStart w:id="32" w:name="_Toc19524"/>
      <w:bookmarkStart w:id="33" w:name="_Toc14313"/>
      <w:bookmarkStart w:id="34" w:name="_Toc20605"/>
      <w:bookmarkStart w:id="35" w:name="_Toc9411"/>
      <w:bookmarkStart w:id="36" w:name="_Toc6356"/>
      <w:r>
        <w:rPr>
          <w:rFonts w:hint="eastAsia" w:ascii="Times New Roman" w:hAnsi="Times New Roman" w:cs="Times New Roman"/>
          <w:kern w:val="2"/>
          <w:szCs w:val="32"/>
        </w:rPr>
        <w:t>二、</w:t>
      </w:r>
      <w:r>
        <w:rPr>
          <w:rFonts w:ascii="Times New Roman" w:hAnsi="Times New Roman" w:cs="Times New Roman"/>
          <w:kern w:val="2"/>
          <w:szCs w:val="32"/>
        </w:rPr>
        <w:t>佐证材料</w:t>
      </w:r>
      <w:bookmarkEnd w:id="32"/>
      <w:bookmarkEnd w:id="33"/>
      <w:bookmarkEnd w:id="34"/>
      <w:bookmarkEnd w:id="35"/>
      <w:bookmarkEnd w:id="36"/>
    </w:p>
    <w:p>
      <w:pPr>
        <w:pStyle w:val="4"/>
        <w:shd w:val="clear" w:color="auto" w:fill="FFFFFF" w:themeFill="background1"/>
        <w:spacing w:before="0" w:after="0" w:line="360" w:lineRule="auto"/>
        <w:ind w:firstLine="643"/>
        <w:contextualSpacing/>
        <w:jc w:val="left"/>
        <w:rPr>
          <w:rFonts w:ascii="Times New Roman" w:hAnsi="Times New Roman" w:eastAsia="楷体" w:cs="Times New Roman"/>
        </w:rPr>
      </w:pPr>
      <w:bookmarkStart w:id="37" w:name="_Toc2015"/>
      <w:bookmarkStart w:id="38" w:name="_Toc21519"/>
      <w:bookmarkStart w:id="39" w:name="_Toc15156"/>
      <w:bookmarkStart w:id="40" w:name="_Toc5884"/>
      <w:bookmarkStart w:id="41" w:name="_Toc25168"/>
      <w:r>
        <w:rPr>
          <w:rFonts w:hint="eastAsia" w:ascii="Times New Roman" w:hAnsi="Times New Roman" w:eastAsia="楷体" w:cs="Times New Roman"/>
        </w:rPr>
        <w:t>（一）</w:t>
      </w:r>
      <w:r>
        <w:rPr>
          <w:rFonts w:ascii="Times New Roman" w:hAnsi="Times New Roman" w:eastAsia="楷体" w:cs="Times New Roman"/>
        </w:rPr>
        <w:t>基本情况</w:t>
      </w:r>
      <w:bookmarkEnd w:id="37"/>
      <w:bookmarkEnd w:id="38"/>
      <w:bookmarkEnd w:id="39"/>
      <w:bookmarkEnd w:id="40"/>
      <w:bookmarkEnd w:id="41"/>
      <w:bookmarkStart w:id="42" w:name="_Toc7020634"/>
    </w:p>
    <w:p>
      <w:pPr>
        <w:pStyle w:val="5"/>
        <w:spacing w:line="360" w:lineRule="auto"/>
        <w:ind w:firstLine="643"/>
      </w:pPr>
      <w:bookmarkStart w:id="43" w:name="_Toc20435"/>
      <w:bookmarkStart w:id="44" w:name="_Toc18740"/>
      <w:r>
        <w:rPr>
          <w:rFonts w:hint="eastAsia"/>
        </w:rPr>
        <w:t>1.</w:t>
      </w:r>
      <w:r>
        <w:t>项目</w:t>
      </w:r>
      <w:r>
        <w:rPr>
          <w:rFonts w:hint="eastAsia"/>
        </w:rPr>
        <w:t>立项目的</w:t>
      </w:r>
      <w:bookmarkEnd w:id="43"/>
      <w:bookmarkEnd w:id="44"/>
    </w:p>
    <w:p>
      <w:pPr>
        <w:spacing w:line="360" w:lineRule="auto"/>
        <w:ind w:firstLine="640"/>
      </w:pPr>
      <w:bookmarkStart w:id="45" w:name="_Toc13283"/>
      <w:bookmarkStart w:id="46" w:name="_Toc10717"/>
      <w:r>
        <w:rPr>
          <w:rFonts w:hint="eastAsia"/>
        </w:rPr>
        <w:t>为保障开发区夜间行车、行人安全，营造开发区和谐、安定的社会环境，区住建局委托第三方维护、看护机构对辖区内路灯进行看护维护，强化路灯日常管理工作。为确保道路照明运行正常，设专人负责范围内路灯看护维护管理工作，上报24小时值班电话，配合路灯所做好路灯投诉处理及回复工作。对路灯电缆、灯杆、路灯井等路灯维护所需材料库存及时更新，确保路灯维护及时性。加强路灯设施的看护巡视检查，及时消除一切不安全因素，确保路灯设施安全运行。制定详细全面的巡查制度，维护人员每天必须对区域内路灯设备进行巡查，对偷盗路灯设备、撞坏路灯、认为损坏设备等情况进行巡查，发现问题及时处理。做好更换灯头、路灯修复等路灯维护工作的记录。</w:t>
      </w:r>
    </w:p>
    <w:p>
      <w:pPr>
        <w:pStyle w:val="5"/>
        <w:spacing w:line="360" w:lineRule="auto"/>
        <w:ind w:firstLine="643"/>
      </w:pPr>
      <w:r>
        <w:t>2.</w:t>
      </w:r>
      <w:r>
        <w:rPr>
          <w:rFonts w:hint="eastAsia"/>
        </w:rPr>
        <w:t>年度</w:t>
      </w:r>
      <w:r>
        <w:t>绩效目标</w:t>
      </w:r>
      <w:bookmarkEnd w:id="45"/>
      <w:bookmarkEnd w:id="46"/>
    </w:p>
    <w:p>
      <w:pPr>
        <w:shd w:val="clear" w:color="auto" w:fill="FFFFFF" w:themeFill="background1"/>
        <w:spacing w:line="360" w:lineRule="auto"/>
        <w:ind w:firstLine="640"/>
        <w:rPr>
          <w:rFonts w:cs="Times New Roman"/>
          <w:color w:val="auto"/>
          <w:kern w:val="0"/>
          <w:szCs w:val="32"/>
        </w:rPr>
      </w:pPr>
      <w:r>
        <w:rPr>
          <w:rFonts w:hint="eastAsia" w:cs="Times New Roman"/>
          <w:color w:val="auto"/>
          <w:kern w:val="0"/>
          <w:szCs w:val="32"/>
        </w:rPr>
        <w:t>本项目2022年申报表中年度绩效指标设置不规范，不能全面反映项目的产出和效果，故将本项目绩效目标调整如下：</w:t>
      </w:r>
    </w:p>
    <w:p>
      <w:pPr>
        <w:shd w:val="clear" w:color="auto" w:fill="FFFFFF" w:themeFill="background1"/>
        <w:spacing w:line="360" w:lineRule="auto"/>
        <w:ind w:firstLine="640"/>
      </w:pPr>
      <w:r>
        <w:rPr>
          <w:rFonts w:hint="eastAsia" w:cs="Times New Roman"/>
          <w:color w:val="auto"/>
          <w:kern w:val="0"/>
          <w:szCs w:val="32"/>
        </w:rPr>
        <w:t>经开片区路灯看护率100%、汉南片区路灯看护率100%、经开片区路灯维护覆盖率100%、汉南片区路灯维护覆盖率100%、电费支付完成率100%、路灯亮灯率≥98%、事故发生率0、</w:t>
      </w:r>
      <w:r>
        <w:rPr>
          <w:rFonts w:cs="Times New Roman"/>
          <w:color w:val="auto"/>
          <w:kern w:val="0"/>
          <w:szCs w:val="32"/>
        </w:rPr>
        <w:t>城市路灯应急及时性</w:t>
      </w:r>
      <w:r>
        <w:rPr>
          <w:rFonts w:hint="eastAsia" w:cs="Times New Roman"/>
          <w:color w:val="auto"/>
          <w:kern w:val="0"/>
          <w:szCs w:val="32"/>
        </w:rPr>
        <w:t xml:space="preserve"> </w:t>
      </w:r>
      <w:r>
        <w:rPr>
          <w:rFonts w:hint="eastAsia" w:cs="Times New Roman"/>
          <w:color w:val="auto"/>
          <w:kern w:val="0"/>
          <w:szCs w:val="32"/>
          <w:lang w:val="en-US" w:eastAsia="zh-CN"/>
        </w:rPr>
        <w:t>2小时响应</w:t>
      </w:r>
      <w:r>
        <w:rPr>
          <w:rFonts w:hint="eastAsia" w:cs="Times New Roman"/>
          <w:color w:val="auto"/>
          <w:kern w:val="0"/>
          <w:szCs w:val="32"/>
        </w:rPr>
        <w:t>、城市路灯改善度</w:t>
      </w:r>
      <w:r>
        <w:rPr>
          <w:rFonts w:hint="eastAsia" w:cs="Times New Roman"/>
          <w:color w:val="auto"/>
          <w:kern w:val="0"/>
          <w:szCs w:val="32"/>
          <w:lang w:val="en-US" w:eastAsia="zh-CN"/>
        </w:rPr>
        <w:t>有所改善</w:t>
      </w:r>
      <w:r>
        <w:rPr>
          <w:rFonts w:hint="eastAsia" w:cs="Times New Roman"/>
          <w:color w:val="auto"/>
          <w:kern w:val="0"/>
          <w:szCs w:val="32"/>
        </w:rPr>
        <w:t>、可持续影响具有持续性、群众满意度≥95%。</w:t>
      </w:r>
    </w:p>
    <w:p>
      <w:pPr>
        <w:widowControl/>
        <w:spacing w:line="360" w:lineRule="auto"/>
        <w:ind w:firstLine="643"/>
        <w:outlineLvl w:val="2"/>
        <w:rPr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32"/>
          <w14:textFill>
            <w14:solidFill>
              <w14:schemeClr w14:val="tx1"/>
            </w14:solidFill>
          </w14:textFill>
        </w:rPr>
        <w:t>3.项目资金情况</w:t>
      </w:r>
    </w:p>
    <w:bookmarkEnd w:id="42"/>
    <w:p>
      <w:pPr>
        <w:spacing w:line="360" w:lineRule="auto"/>
        <w:ind w:firstLine="640"/>
        <w:rPr>
          <w:bCs/>
          <w:szCs w:val="32"/>
        </w:rPr>
      </w:pPr>
      <w:bookmarkStart w:id="47" w:name="_Toc30784"/>
      <w:bookmarkStart w:id="48" w:name="_Toc19582"/>
      <w:bookmarkStart w:id="49" w:name="_Toc32177"/>
      <w:bookmarkStart w:id="50" w:name="_Toc13091"/>
      <w:bookmarkStart w:id="51" w:name="_Toc8397035"/>
      <w:bookmarkStart w:id="52" w:name="_Toc24782"/>
      <w:r>
        <w:rPr>
          <w:rFonts w:hint="eastAsia"/>
        </w:rPr>
        <w:t>2022年度项目预算金额为2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190.53万元。本项目年度实际支出2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138.96万元，预算执行率为97.65%</w:t>
      </w:r>
      <w:r>
        <w:t>。</w:t>
      </w:r>
    </w:p>
    <w:p>
      <w:pPr>
        <w:pStyle w:val="4"/>
        <w:shd w:val="clear" w:color="auto" w:fill="FFFFFF" w:themeFill="background1"/>
        <w:spacing w:before="0" w:after="0" w:line="360" w:lineRule="auto"/>
        <w:ind w:firstLine="643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（二）部门自评</w:t>
      </w:r>
      <w:r>
        <w:rPr>
          <w:rFonts w:ascii="Times New Roman" w:hAnsi="Times New Roman" w:eastAsia="楷体" w:cs="Times New Roman"/>
        </w:rPr>
        <w:t>工作开展情况</w:t>
      </w:r>
      <w:bookmarkEnd w:id="47"/>
      <w:bookmarkEnd w:id="48"/>
      <w:bookmarkEnd w:id="49"/>
      <w:bookmarkEnd w:id="50"/>
      <w:bookmarkEnd w:id="51"/>
      <w:bookmarkEnd w:id="52"/>
    </w:p>
    <w:p>
      <w:pPr>
        <w:widowControl/>
        <w:spacing w:line="360" w:lineRule="auto"/>
        <w:ind w:firstLine="64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bookmarkStart w:id="53" w:name="_Toc28731"/>
      <w:bookmarkStart w:id="54" w:name="_Toc6163"/>
      <w:bookmarkStart w:id="55" w:name="_Toc16187"/>
      <w:bookmarkStart w:id="56" w:name="_Toc31889"/>
      <w:bookmarkStart w:id="57" w:name="_Toc16572"/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本次自评时间从2023年</w:t>
      </w: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月3日至2023年4月21日，历时</w:t>
      </w:r>
      <w:r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5天。自评工作程序如下：</w:t>
      </w:r>
    </w:p>
    <w:p>
      <w:pPr>
        <w:widowControl/>
        <w:spacing w:line="360" w:lineRule="auto"/>
        <w:ind w:firstLine="643"/>
        <w:rPr>
          <w:b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制定工作方案</w:t>
      </w:r>
    </w:p>
    <w:p>
      <w:pPr>
        <w:widowControl/>
        <w:spacing w:line="360" w:lineRule="auto"/>
        <w:ind w:firstLine="64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部门自评工作方案由财务部门会同第三方机构共同研究制订。根据部门主要负责同志要求和武汉经济技术开发区（汉南区）财政局发布的</w:t>
      </w:r>
      <w:r>
        <w:rPr>
          <w:rFonts w:hint="eastAsia"/>
          <w:szCs w:val="32"/>
        </w:rPr>
        <w:t>《关于开展2023年预算绩效评价及项目支出绩效运行监控的通知》（武经开〔2023〕19号）</w:t>
      </w: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启动部门自评工作。</w:t>
      </w:r>
    </w:p>
    <w:p>
      <w:pPr>
        <w:widowControl/>
        <w:spacing w:line="360" w:lineRule="auto"/>
        <w:ind w:firstLine="643"/>
        <w:rPr>
          <w:b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2.组织实施自评</w:t>
      </w:r>
    </w:p>
    <w:p>
      <w:pPr>
        <w:widowControl/>
        <w:spacing w:line="360" w:lineRule="auto"/>
        <w:ind w:firstLine="64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财务部门会同第三方机构及时成立工作组，通过调研访谈、电话访谈等方式收集、核实数据和信息，并对这些数据和信息进行整理分析。</w:t>
      </w:r>
    </w:p>
    <w:p>
      <w:pPr>
        <w:widowControl/>
        <w:spacing w:line="360" w:lineRule="auto"/>
        <w:ind w:firstLine="643"/>
        <w:rPr>
          <w:b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3.撰写部门项目自评结果</w:t>
      </w:r>
    </w:p>
    <w:p>
      <w:pPr>
        <w:widowControl/>
        <w:spacing w:line="360" w:lineRule="auto"/>
        <w:ind w:firstLine="64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在整理分析基础上，形成部门项目自评结果。</w:t>
      </w:r>
    </w:p>
    <w:p>
      <w:pPr>
        <w:widowControl/>
        <w:spacing w:line="360" w:lineRule="auto"/>
        <w:ind w:firstLine="643"/>
        <w:rPr>
          <w:b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Cs w:val="32"/>
          <w14:textFill>
            <w14:solidFill>
              <w14:schemeClr w14:val="tx1"/>
            </w14:solidFill>
          </w14:textFill>
        </w:rPr>
        <w:t>4.建立部门项目自评档案</w:t>
      </w:r>
    </w:p>
    <w:p>
      <w:pPr>
        <w:widowControl/>
        <w:spacing w:line="360" w:lineRule="auto"/>
        <w:ind w:firstLine="640"/>
        <w:rPr>
          <w:color w:val="000000" w:themeColor="text1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Cs w:val="32"/>
          <w14:textFill>
            <w14:solidFill>
              <w14:schemeClr w14:val="tx1"/>
            </w14:solidFill>
          </w14:textFill>
        </w:rPr>
        <w:t>部门项目自评结果按时报送财政部门备案并及时归档备查。</w:t>
      </w:r>
    </w:p>
    <w:p>
      <w:pPr>
        <w:pStyle w:val="4"/>
        <w:shd w:val="clear" w:color="auto" w:fill="FFFFFF" w:themeFill="background1"/>
        <w:spacing w:before="0" w:after="0" w:line="360" w:lineRule="auto"/>
        <w:ind w:firstLine="643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（三）</w:t>
      </w:r>
      <w:r>
        <w:rPr>
          <w:rFonts w:ascii="Times New Roman" w:hAnsi="Times New Roman" w:eastAsia="楷体" w:cs="Times New Roman"/>
        </w:rPr>
        <w:t>绩效</w:t>
      </w:r>
      <w:r>
        <w:rPr>
          <w:rFonts w:hint="eastAsia" w:ascii="Times New Roman" w:hAnsi="Times New Roman" w:eastAsia="楷体" w:cs="Times New Roman"/>
        </w:rPr>
        <w:t>目标</w:t>
      </w:r>
      <w:r>
        <w:rPr>
          <w:rFonts w:ascii="Times New Roman" w:hAnsi="Times New Roman" w:eastAsia="楷体" w:cs="Times New Roman"/>
        </w:rPr>
        <w:t>完成情况分析</w:t>
      </w:r>
      <w:bookmarkEnd w:id="53"/>
      <w:bookmarkEnd w:id="54"/>
      <w:bookmarkEnd w:id="55"/>
      <w:bookmarkEnd w:id="56"/>
      <w:bookmarkEnd w:id="57"/>
    </w:p>
    <w:p>
      <w:pPr>
        <w:pStyle w:val="5"/>
        <w:spacing w:line="360" w:lineRule="auto"/>
        <w:ind w:firstLine="643"/>
      </w:pPr>
      <w:bookmarkStart w:id="58" w:name="_Toc5479"/>
      <w:bookmarkStart w:id="59" w:name="_Toc16689"/>
      <w:r>
        <w:rPr>
          <w:rFonts w:hint="eastAsia"/>
        </w:rPr>
        <w:t>1.预算执行情况分析（满分20分，得分</w:t>
      </w:r>
      <w:r>
        <w:t>19.</w:t>
      </w:r>
      <w:r>
        <w:rPr>
          <w:rFonts w:hint="eastAsia"/>
        </w:rPr>
        <w:t>53分）</w:t>
      </w:r>
      <w:bookmarkEnd w:id="58"/>
      <w:bookmarkEnd w:id="59"/>
    </w:p>
    <w:p>
      <w:pPr>
        <w:spacing w:line="360" w:lineRule="auto"/>
        <w:ind w:firstLine="640"/>
      </w:pPr>
      <w:r>
        <w:rPr>
          <w:rFonts w:hint="eastAsia"/>
        </w:rPr>
        <w:t>2022年度项目预算金额为2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190.53万元。本项目年度实际支出2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138.96万元，预算执行率为97.65%，得分19.53分。</w:t>
      </w:r>
    </w:p>
    <w:p>
      <w:pPr>
        <w:pStyle w:val="5"/>
        <w:spacing w:line="360" w:lineRule="auto"/>
        <w:ind w:firstLine="643"/>
      </w:pPr>
      <w:bookmarkStart w:id="60" w:name="_Toc18842"/>
      <w:bookmarkStart w:id="61" w:name="_Toc15609"/>
      <w:bookmarkStart w:id="62" w:name="_Toc406666374"/>
      <w:bookmarkStart w:id="63" w:name="_Toc17271_WPSOffice_Level2"/>
      <w:bookmarkStart w:id="64" w:name="_Toc361302036"/>
      <w:bookmarkStart w:id="65" w:name="_Toc406668048"/>
      <w:bookmarkStart w:id="66" w:name="_Toc387957823"/>
      <w:bookmarkStart w:id="67" w:name="_Toc361304699"/>
      <w:r>
        <w:rPr>
          <w:rFonts w:hint="eastAsia"/>
        </w:rPr>
        <w:t>2.绩效目标完成情况分析（满分80分，得分</w:t>
      </w:r>
      <w:r>
        <w:rPr>
          <w:rFonts w:hint="eastAsia"/>
          <w:lang w:val="en-US" w:eastAsia="zh-CN"/>
        </w:rPr>
        <w:t>80</w:t>
      </w:r>
      <w:r>
        <w:rPr>
          <w:rFonts w:hint="eastAsia"/>
        </w:rPr>
        <w:t>分）</w:t>
      </w:r>
      <w:bookmarkEnd w:id="60"/>
      <w:bookmarkEnd w:id="61"/>
    </w:p>
    <w:p>
      <w:pPr>
        <w:spacing w:line="360" w:lineRule="auto"/>
        <w:ind w:firstLine="640"/>
      </w:pPr>
      <w:r>
        <w:rPr>
          <w:rFonts w:hint="eastAsia"/>
        </w:rPr>
        <w:t>（</w:t>
      </w:r>
      <w:r>
        <w:t>1</w:t>
      </w:r>
      <w:r>
        <w:rPr>
          <w:rFonts w:hint="eastAsia"/>
        </w:rPr>
        <w:t>）产出指标完成情况分析（满分</w:t>
      </w:r>
      <w:r>
        <w:rPr>
          <w:rFonts w:hint="eastAsia"/>
          <w:lang w:val="en-US" w:eastAsia="zh-CN"/>
        </w:rPr>
        <w:t>50</w:t>
      </w:r>
      <w:r>
        <w:rPr>
          <w:rFonts w:hint="eastAsia"/>
        </w:rPr>
        <w:t>分，得分</w:t>
      </w:r>
      <w:r>
        <w:rPr>
          <w:rFonts w:hint="eastAsia"/>
          <w:lang w:val="en-US" w:eastAsia="zh-CN"/>
        </w:rPr>
        <w:t>50</w:t>
      </w:r>
      <w:r>
        <w:rPr>
          <w:rFonts w:hint="eastAsia"/>
        </w:rPr>
        <w:t>分）</w:t>
      </w:r>
    </w:p>
    <w:p>
      <w:pPr>
        <w:shd w:val="clear" w:color="auto" w:fill="FFFFFF" w:themeFill="background1"/>
        <w:spacing w:line="360" w:lineRule="auto"/>
        <w:ind w:firstLine="640"/>
      </w:pPr>
      <w:r>
        <w:rPr>
          <w:rFonts w:hint="eastAsia"/>
        </w:rPr>
        <w:t>①</w:t>
      </w:r>
      <w:r>
        <w:rPr>
          <w:rFonts w:hint="eastAsia" w:cs="Times New Roman"/>
          <w:color w:val="auto"/>
          <w:kern w:val="0"/>
          <w:szCs w:val="32"/>
        </w:rPr>
        <w:t>经开片区路灯看护率100%</w:t>
      </w:r>
      <w:r>
        <w:rPr>
          <w:rFonts w:hint="eastAsia"/>
        </w:rPr>
        <w:t>：</w:t>
      </w:r>
      <w:r>
        <w:t>满分</w:t>
      </w:r>
      <w:r>
        <w:rPr>
          <w:rFonts w:hint="eastAsia"/>
        </w:rPr>
        <w:t>5</w:t>
      </w:r>
      <w:r>
        <w:t>分，得分</w:t>
      </w:r>
      <w:r>
        <w:rPr>
          <w:rFonts w:hint="eastAsia"/>
        </w:rPr>
        <w:t>5</w:t>
      </w:r>
      <w:r>
        <w:t>分</w:t>
      </w:r>
    </w:p>
    <w:p>
      <w:pPr>
        <w:pStyle w:val="2"/>
        <w:spacing w:line="360" w:lineRule="auto"/>
        <w:ind w:firstLine="640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目标为完成经开片区路灯看护率100%，2022年经开片区道路清查的路灯数据为18365杆，均在路灯看护合同范围内，完成目标。</w:t>
      </w:r>
    </w:p>
    <w:p>
      <w:pPr>
        <w:shd w:val="clear" w:color="auto" w:fill="FFFFFF" w:themeFill="background1"/>
        <w:spacing w:line="360" w:lineRule="auto"/>
        <w:ind w:firstLine="640"/>
      </w:pPr>
      <w:r>
        <w:rPr>
          <w:rFonts w:hint="eastAsia"/>
        </w:rPr>
        <w:t>②</w:t>
      </w:r>
      <w:r>
        <w:rPr>
          <w:rFonts w:hint="eastAsia" w:cs="Times New Roman"/>
          <w:color w:val="auto"/>
          <w:kern w:val="0"/>
          <w:szCs w:val="32"/>
        </w:rPr>
        <w:t>汉南片区路灯看护率100%</w:t>
      </w:r>
      <w:r>
        <w:rPr>
          <w:rFonts w:hint="eastAsia"/>
        </w:rPr>
        <w:t>：</w:t>
      </w:r>
      <w:r>
        <w:t>满分</w:t>
      </w:r>
      <w:r>
        <w:rPr>
          <w:rFonts w:hint="eastAsia"/>
        </w:rPr>
        <w:t>5</w:t>
      </w:r>
      <w:r>
        <w:t>分，得分</w:t>
      </w:r>
      <w:r>
        <w:rPr>
          <w:rFonts w:hint="eastAsia"/>
          <w:lang w:val="en-US" w:eastAsia="zh-CN"/>
        </w:rPr>
        <w:t>4</w:t>
      </w:r>
      <w:r>
        <w:t>分</w:t>
      </w:r>
    </w:p>
    <w:p>
      <w:pPr>
        <w:pStyle w:val="2"/>
        <w:spacing w:line="360" w:lineRule="auto"/>
        <w:ind w:firstLine="640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目标为完成汉南片区路灯看护率100%，2022年汉南片区道路清查的路灯数据为8259杆，均在路灯看护合同范围内，完成目标。</w:t>
      </w:r>
    </w:p>
    <w:p>
      <w:pPr>
        <w:shd w:val="clear" w:color="auto" w:fill="FFFFFF" w:themeFill="background1"/>
        <w:spacing w:line="360" w:lineRule="auto"/>
        <w:ind w:firstLine="640"/>
      </w:pPr>
      <w:r>
        <w:rPr>
          <w:rFonts w:hint="eastAsia"/>
        </w:rPr>
        <w:t>③</w:t>
      </w:r>
      <w:r>
        <w:rPr>
          <w:rFonts w:hint="eastAsia" w:cs="Times New Roman"/>
          <w:color w:val="auto"/>
          <w:kern w:val="0"/>
          <w:szCs w:val="32"/>
        </w:rPr>
        <w:t>经开片区路灯维护覆盖率100%：</w:t>
      </w:r>
      <w:r>
        <w:rPr>
          <w:rFonts w:hint="eastAsia"/>
        </w:rPr>
        <w:t>满分5分，得分5分</w:t>
      </w:r>
    </w:p>
    <w:p>
      <w:pPr>
        <w:pStyle w:val="2"/>
        <w:spacing w:line="360" w:lineRule="auto"/>
        <w:ind w:firstLine="640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目标为完成经开片区路灯</w:t>
      </w:r>
      <w:r>
        <w:rPr>
          <w:rFonts w:hint="eastAsia" w:cs="Times New Roman"/>
          <w:color w:val="auto"/>
          <w:kern w:val="0"/>
          <w:szCs w:val="32"/>
        </w:rPr>
        <w:t>维护覆盖率</w:t>
      </w:r>
      <w:r>
        <w:rPr>
          <w:rFonts w:hint="eastAsia"/>
          <w:lang w:val="en-US" w:eastAsia="zh-CN"/>
        </w:rPr>
        <w:t>100%，2022年经开片区道路清查的路灯数据为18365杆，均在路灯维护维修合同范围内，完成目标。</w:t>
      </w:r>
    </w:p>
    <w:p>
      <w:pPr>
        <w:spacing w:line="360" w:lineRule="auto"/>
        <w:ind w:firstLine="640"/>
      </w:pPr>
      <w:r>
        <w:rPr>
          <w:rFonts w:hint="eastAsia"/>
        </w:rPr>
        <w:t>④</w:t>
      </w:r>
      <w:r>
        <w:rPr>
          <w:rFonts w:hint="eastAsia" w:cs="Times New Roman"/>
          <w:color w:val="auto"/>
          <w:kern w:val="0"/>
          <w:szCs w:val="32"/>
        </w:rPr>
        <w:t>汉南片区路灯维护覆盖率100%：</w:t>
      </w:r>
      <w:r>
        <w:t>满分5分，得分</w:t>
      </w:r>
      <w:r>
        <w:rPr>
          <w:rFonts w:hint="eastAsia"/>
          <w:lang w:val="en-US" w:eastAsia="zh-CN"/>
        </w:rPr>
        <w:t>4</w:t>
      </w:r>
      <w:r>
        <w:t>分</w:t>
      </w:r>
    </w:p>
    <w:p>
      <w:pPr>
        <w:pStyle w:val="2"/>
        <w:spacing w:line="360" w:lineRule="auto"/>
        <w:ind w:firstLine="640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目标为完成汉南片区</w:t>
      </w:r>
      <w:r>
        <w:rPr>
          <w:rFonts w:hint="eastAsia" w:cs="Times New Roman"/>
          <w:color w:val="auto"/>
          <w:kern w:val="0"/>
          <w:szCs w:val="32"/>
        </w:rPr>
        <w:t>路灯维护覆盖率100%</w:t>
      </w:r>
      <w:r>
        <w:rPr>
          <w:rFonts w:hint="eastAsia"/>
          <w:lang w:val="en-US" w:eastAsia="zh-CN"/>
        </w:rPr>
        <w:t>，2022年汉南片区道路清查的路灯数据为8259杆，均在路灯维护</w:t>
      </w:r>
      <w:bookmarkStart w:id="83" w:name="_GoBack"/>
      <w:bookmarkEnd w:id="83"/>
      <w:r>
        <w:rPr>
          <w:rFonts w:hint="eastAsia"/>
          <w:lang w:val="en-US" w:eastAsia="zh-CN"/>
        </w:rPr>
        <w:t>合同范围内，完成目标。</w:t>
      </w:r>
    </w:p>
    <w:p>
      <w:pPr>
        <w:spacing w:line="360" w:lineRule="auto"/>
        <w:ind w:firstLine="640"/>
      </w:pPr>
      <w:r>
        <w:rPr>
          <w:rFonts w:hint="eastAsia"/>
        </w:rPr>
        <w:t>⑤</w:t>
      </w:r>
      <w:r>
        <w:rPr>
          <w:rFonts w:hint="eastAsia" w:cs="Times New Roman"/>
          <w:color w:val="auto"/>
          <w:kern w:val="0"/>
          <w:szCs w:val="32"/>
        </w:rPr>
        <w:t>电费支付完成率</w:t>
      </w:r>
      <w:r>
        <w:rPr>
          <w:rFonts w:hint="eastAsia"/>
        </w:rPr>
        <w:t>：</w:t>
      </w:r>
      <w:r>
        <w:t>满分</w:t>
      </w:r>
      <w:r>
        <w:rPr>
          <w:rFonts w:hint="eastAsia"/>
          <w:lang w:val="en-US" w:eastAsia="zh-CN"/>
        </w:rPr>
        <w:t>5</w:t>
      </w:r>
      <w:r>
        <w:t>分，得分</w:t>
      </w:r>
      <w:r>
        <w:rPr>
          <w:rFonts w:hint="eastAsia"/>
          <w:lang w:val="en-US" w:eastAsia="zh-CN"/>
        </w:rPr>
        <w:t>5</w:t>
      </w:r>
      <w:r>
        <w:t>分</w:t>
      </w:r>
    </w:p>
    <w:p>
      <w:pPr>
        <w:pStyle w:val="2"/>
        <w:spacing w:line="360" w:lineRule="auto"/>
        <w:ind w:firstLine="640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目标为电费支付完成率1005，2022年度支付1-12月的路灯费用合计586.39万元，已全额支付，完成目标。</w:t>
      </w:r>
    </w:p>
    <w:p>
      <w:pPr>
        <w:spacing w:line="360" w:lineRule="auto"/>
        <w:ind w:firstLine="640"/>
      </w:pPr>
      <w:r>
        <w:rPr>
          <w:rFonts w:hint="eastAsia" w:ascii="仿宋" w:hAnsi="仿宋"/>
        </w:rPr>
        <w:t>⑥</w:t>
      </w:r>
      <w:r>
        <w:rPr>
          <w:rFonts w:hint="eastAsia" w:cs="Times New Roman"/>
          <w:color w:val="auto"/>
          <w:kern w:val="0"/>
          <w:szCs w:val="32"/>
        </w:rPr>
        <w:t>路灯亮灯率</w:t>
      </w:r>
      <w:r>
        <w:rPr>
          <w:rFonts w:hint="eastAsia"/>
        </w:rPr>
        <w:t>：</w:t>
      </w:r>
      <w:r>
        <w:t>满分</w:t>
      </w:r>
      <w:r>
        <w:rPr>
          <w:rFonts w:hint="eastAsia"/>
          <w:lang w:val="en-US" w:eastAsia="zh-CN"/>
        </w:rPr>
        <w:t>5</w:t>
      </w:r>
      <w:r>
        <w:t>分，得分</w:t>
      </w:r>
      <w:r>
        <w:rPr>
          <w:rFonts w:hint="eastAsia"/>
          <w:lang w:val="en-US" w:eastAsia="zh-CN"/>
        </w:rPr>
        <w:t>5</w:t>
      </w:r>
      <w:r>
        <w:t>分</w:t>
      </w:r>
    </w:p>
    <w:p>
      <w:pPr>
        <w:pStyle w:val="2"/>
        <w:spacing w:line="360" w:lineRule="auto"/>
        <w:ind w:firstLine="640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目标为路灯亮灯率</w:t>
      </w:r>
      <w:r>
        <w:rPr>
          <w:rFonts w:hint="eastAsia" w:cs="Times New Roman"/>
          <w:color w:val="auto"/>
          <w:kern w:val="0"/>
          <w:szCs w:val="32"/>
        </w:rPr>
        <w:t>≥98%</w:t>
      </w:r>
      <w:r>
        <w:rPr>
          <w:rFonts w:hint="eastAsia" w:cs="Times New Roman"/>
          <w:color w:val="auto"/>
          <w:kern w:val="0"/>
          <w:szCs w:val="32"/>
          <w:lang w:eastAsia="zh-CN"/>
        </w:rPr>
        <w:t>，</w:t>
      </w:r>
      <w:r>
        <w:rPr>
          <w:rFonts w:hint="eastAsia" w:cs="Times New Roman"/>
          <w:color w:val="auto"/>
          <w:kern w:val="0"/>
          <w:szCs w:val="32"/>
          <w:lang w:val="en-US" w:eastAsia="zh-CN"/>
        </w:rPr>
        <w:t>2022年全年经开片区及汉南片区亮灯率平均值为99.5%，完成目标。</w:t>
      </w:r>
    </w:p>
    <w:p>
      <w:pPr>
        <w:spacing w:line="360" w:lineRule="auto"/>
        <w:ind w:firstLine="640"/>
      </w:pPr>
      <w:r>
        <w:rPr>
          <w:rFonts w:hint="eastAsia" w:ascii="仿宋" w:hAnsi="仿宋"/>
        </w:rPr>
        <w:t>⑦</w:t>
      </w:r>
      <w:r>
        <w:rPr>
          <w:rFonts w:hint="eastAsia" w:cs="Times New Roman"/>
          <w:color w:val="auto"/>
          <w:kern w:val="0"/>
          <w:szCs w:val="32"/>
        </w:rPr>
        <w:t>事故发生率0：</w:t>
      </w:r>
      <w:r>
        <w:t>满分</w:t>
      </w:r>
      <w:r>
        <w:rPr>
          <w:rFonts w:hint="eastAsia"/>
        </w:rPr>
        <w:t>10</w:t>
      </w:r>
      <w:r>
        <w:t>分，得分</w:t>
      </w:r>
      <w:r>
        <w:rPr>
          <w:rFonts w:hint="eastAsia"/>
        </w:rPr>
        <w:t>10</w:t>
      </w:r>
      <w:r>
        <w:t>分</w:t>
      </w:r>
    </w:p>
    <w:p>
      <w:pPr>
        <w:pStyle w:val="2"/>
        <w:spacing w:line="360" w:lineRule="auto"/>
        <w:ind w:firstLine="64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2022年度经开片区及汉南片区运维团队累计出动各类作业车辆150台次，处理监控类路灯变压器供电异常故障30笔，双相无负荷电流导致的局部熄灯故障22笔，处理各类急修单共计20笔，歪杆、倒杆类故障30笔。全年路灯看护维修状况较好，未发生因路灯故障导致的严重事故，完成指标。</w:t>
      </w:r>
    </w:p>
    <w:p>
      <w:pPr>
        <w:spacing w:line="360" w:lineRule="auto"/>
        <w:ind w:firstLine="640"/>
      </w:pPr>
      <w:r>
        <w:rPr>
          <w:rFonts w:hint="eastAsia"/>
        </w:rPr>
        <w:t>⑧</w:t>
      </w:r>
      <w:r>
        <w:rPr>
          <w:rFonts w:cs="Times New Roman"/>
          <w:color w:val="auto"/>
          <w:kern w:val="0"/>
          <w:szCs w:val="32"/>
        </w:rPr>
        <w:t>城市路灯应急及时性</w:t>
      </w:r>
      <w:r>
        <w:rPr>
          <w:rFonts w:hint="eastAsia" w:cs="Times New Roman"/>
          <w:color w:val="auto"/>
          <w:kern w:val="0"/>
          <w:szCs w:val="32"/>
        </w:rPr>
        <w:t>：</w:t>
      </w:r>
      <w:r>
        <w:t>满分</w:t>
      </w:r>
      <w:r>
        <w:rPr>
          <w:rFonts w:hint="eastAsia"/>
        </w:rPr>
        <w:t>10</w:t>
      </w:r>
      <w:r>
        <w:t>分，得分</w:t>
      </w:r>
      <w:r>
        <w:rPr>
          <w:rFonts w:hint="eastAsia"/>
        </w:rPr>
        <w:t>10</w:t>
      </w:r>
      <w:r>
        <w:t>分</w:t>
      </w:r>
    </w:p>
    <w:p>
      <w:pPr>
        <w:pStyle w:val="2"/>
        <w:spacing w:line="360" w:lineRule="auto"/>
        <w:ind w:firstLine="640"/>
        <w:rPr>
          <w:rFonts w:hint="default" w:eastAsia="仿宋"/>
          <w:lang w:val="en-US" w:eastAsia="zh-CN"/>
        </w:rPr>
      </w:pPr>
      <w:r>
        <w:rPr>
          <w:rFonts w:hint="eastAsia" w:cs="Times New Roman"/>
          <w:color w:val="auto"/>
          <w:kern w:val="0"/>
          <w:szCs w:val="32"/>
          <w:lang w:val="en-US" w:eastAsia="zh-CN"/>
        </w:rPr>
        <w:t>目标为</w:t>
      </w:r>
      <w:r>
        <w:rPr>
          <w:rFonts w:cs="Times New Roman"/>
          <w:color w:val="auto"/>
          <w:kern w:val="0"/>
          <w:szCs w:val="32"/>
        </w:rPr>
        <w:t>城市路灯应急</w:t>
      </w:r>
      <w:r>
        <w:rPr>
          <w:rFonts w:hint="eastAsia" w:cs="Times New Roman"/>
          <w:color w:val="auto"/>
          <w:kern w:val="0"/>
          <w:szCs w:val="32"/>
          <w:lang w:val="en-US" w:eastAsia="zh-CN"/>
        </w:rPr>
        <w:t>2小时</w:t>
      </w:r>
      <w:r>
        <w:rPr>
          <w:rFonts w:hint="eastAsia" w:cs="Times New Roman"/>
          <w:color w:val="auto"/>
          <w:kern w:val="0"/>
          <w:szCs w:val="32"/>
        </w:rPr>
        <w:t>响应</w:t>
      </w:r>
      <w:r>
        <w:rPr>
          <w:rFonts w:hint="eastAsia" w:cs="Times New Roman"/>
          <w:color w:val="auto"/>
          <w:kern w:val="0"/>
          <w:szCs w:val="32"/>
          <w:lang w:eastAsia="zh-CN"/>
        </w:rPr>
        <w:t>，</w:t>
      </w:r>
      <w:r>
        <w:rPr>
          <w:rFonts w:hint="eastAsia" w:cs="Times New Roman"/>
          <w:color w:val="auto"/>
          <w:kern w:val="0"/>
          <w:szCs w:val="32"/>
          <w:lang w:val="en-US" w:eastAsia="zh-CN"/>
        </w:rPr>
        <w:t>按照运维合同约定，发生突发性故障，接抢修电话后，两小时内到达现场，否则每发生一次，扣维修维护费用总额5‰。2022年度考核未发生此类状况，路灯应急处理及时，完成目标。</w:t>
      </w:r>
    </w:p>
    <w:p>
      <w:pPr>
        <w:pStyle w:val="2"/>
        <w:spacing w:line="360" w:lineRule="auto"/>
        <w:ind w:firstLine="640"/>
      </w:pPr>
      <w:r>
        <w:rPr>
          <w:rFonts w:hint="eastAsia"/>
        </w:rPr>
        <w:t>（2）效益指标完成情况分析（满分30分，得分30分）</w:t>
      </w:r>
    </w:p>
    <w:p>
      <w:pPr>
        <w:spacing w:line="360" w:lineRule="auto"/>
        <w:ind w:firstLine="640"/>
      </w:pPr>
      <w:r>
        <w:rPr>
          <w:rFonts w:hint="eastAsia"/>
        </w:rPr>
        <w:t>①</w:t>
      </w:r>
      <w:r>
        <w:rPr>
          <w:rFonts w:hint="eastAsia" w:cs="Times New Roman"/>
          <w:color w:val="auto"/>
          <w:kern w:val="0"/>
          <w:szCs w:val="32"/>
        </w:rPr>
        <w:t>城市路灯改善度：</w:t>
      </w:r>
      <w:r>
        <w:t>满分</w:t>
      </w:r>
      <w:r>
        <w:rPr>
          <w:rFonts w:hint="eastAsia"/>
        </w:rPr>
        <w:t>10</w:t>
      </w:r>
      <w:r>
        <w:t>分，得分</w:t>
      </w:r>
      <w:r>
        <w:rPr>
          <w:rFonts w:hint="eastAsia"/>
        </w:rPr>
        <w:t>10</w:t>
      </w:r>
      <w:r>
        <w:t>分</w:t>
      </w:r>
    </w:p>
    <w:p>
      <w:pPr>
        <w:pStyle w:val="2"/>
        <w:spacing w:line="360" w:lineRule="auto"/>
        <w:ind w:firstLine="640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目标为城市路灯有所改善，通过第三方专业机构对路灯进行维护看护，辖区全年未发生路灯突击性故障、未发生施工安全事故、未发生路灯迁移及低压负荷转带情况；在重大节假日期间未发生维护、抢修不力等情况，路灯维护抢修及时，保障措施有效，实现了城市路灯不断改善的目标。</w:t>
      </w:r>
    </w:p>
    <w:p>
      <w:pPr>
        <w:spacing w:line="360" w:lineRule="auto"/>
        <w:ind w:firstLine="640"/>
        <w:rPr>
          <w:rFonts w:cs="Times New Roman"/>
          <w:color w:val="auto"/>
          <w:kern w:val="0"/>
          <w:szCs w:val="32"/>
        </w:rPr>
      </w:pPr>
      <w:r>
        <w:rPr>
          <w:rFonts w:hint="eastAsia" w:cs="Times New Roman"/>
          <w:color w:val="auto"/>
          <w:kern w:val="0"/>
          <w:szCs w:val="32"/>
        </w:rPr>
        <w:t>②可持续影响具有持续性。</w:t>
      </w:r>
    </w:p>
    <w:p>
      <w:pPr>
        <w:pStyle w:val="2"/>
        <w:spacing w:line="360" w:lineRule="auto"/>
        <w:ind w:firstLine="640"/>
        <w:rPr>
          <w:rFonts w:hint="default" w:eastAsia="仿宋"/>
          <w:lang w:val="en-US" w:eastAsia="zh-CN"/>
        </w:rPr>
      </w:pPr>
      <w:r>
        <w:rPr>
          <w:rFonts w:hint="eastAsia"/>
          <w:lang w:val="en-US" w:eastAsia="zh-CN"/>
        </w:rPr>
        <w:t>目标为项目具有可持续性，本项目为民生项目，属于财政支持的常年稳定项目，本项目通过第三方专业机构实施，经费能够提供充分的支撑，人员、设备等正常运转，具备可持续性。</w:t>
      </w:r>
    </w:p>
    <w:p>
      <w:pPr>
        <w:spacing w:line="360" w:lineRule="auto"/>
        <w:ind w:firstLine="640"/>
      </w:pPr>
      <w:r>
        <w:rPr>
          <w:rFonts w:hint="eastAsia"/>
        </w:rPr>
        <w:t>（</w:t>
      </w:r>
      <w:r>
        <w:t>3</w:t>
      </w:r>
      <w:r>
        <w:rPr>
          <w:rFonts w:hint="eastAsia"/>
        </w:rPr>
        <w:t>）满意度指标完成情况分析（满分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分，得分</w:t>
      </w:r>
      <w:r>
        <w:rPr>
          <w:rFonts w:hint="eastAsia"/>
          <w:lang w:val="en-US" w:eastAsia="zh-CN"/>
        </w:rPr>
        <w:t>10</w:t>
      </w:r>
      <w:r>
        <w:rPr>
          <w:rFonts w:hint="eastAsia"/>
        </w:rPr>
        <w:t>分）</w:t>
      </w:r>
    </w:p>
    <w:p>
      <w:pPr>
        <w:spacing w:line="360" w:lineRule="auto"/>
        <w:ind w:firstLine="640"/>
        <w:rPr>
          <w:rFonts w:cs="Times New Roman"/>
          <w:color w:val="auto"/>
          <w:kern w:val="0"/>
          <w:szCs w:val="32"/>
        </w:rPr>
      </w:pPr>
      <w:r>
        <w:rPr>
          <w:rFonts w:hint="eastAsia"/>
        </w:rPr>
        <w:t>目标为</w:t>
      </w:r>
      <w:r>
        <w:rPr>
          <w:rFonts w:hint="eastAsia" w:cs="Times New Roman"/>
          <w:color w:val="auto"/>
          <w:kern w:val="0"/>
          <w:szCs w:val="32"/>
        </w:rPr>
        <w:t>群众满意度≥95%</w:t>
      </w:r>
      <w:r>
        <w:rPr>
          <w:rFonts w:hint="eastAsia"/>
        </w:rPr>
        <w:t>，根据反馈结果，满意度达到95%，完成目标。</w:t>
      </w:r>
      <w:bookmarkEnd w:id="62"/>
      <w:bookmarkEnd w:id="63"/>
      <w:bookmarkEnd w:id="64"/>
      <w:bookmarkEnd w:id="65"/>
      <w:bookmarkEnd w:id="66"/>
      <w:bookmarkEnd w:id="67"/>
      <w:bookmarkStart w:id="68" w:name="_Toc1551"/>
    </w:p>
    <w:p>
      <w:pPr>
        <w:pStyle w:val="4"/>
        <w:shd w:val="clear" w:color="auto" w:fill="FFFFFF" w:themeFill="background1"/>
        <w:spacing w:before="0" w:after="0" w:line="360" w:lineRule="auto"/>
        <w:ind w:firstLine="643"/>
        <w:contextualSpacing/>
        <w:jc w:val="left"/>
        <w:rPr>
          <w:rFonts w:ascii="Times New Roman" w:hAnsi="Times New Roman" w:eastAsia="楷体" w:cs="Times New Roman"/>
          <w:highlight w:val="yellow"/>
        </w:rPr>
      </w:pPr>
      <w:bookmarkStart w:id="69" w:name="_Toc10988"/>
      <w:bookmarkStart w:id="70" w:name="_Toc10960"/>
      <w:bookmarkStart w:id="71" w:name="_Toc14821"/>
      <w:bookmarkStart w:id="72" w:name="_Toc22377"/>
      <w:r>
        <w:rPr>
          <w:rFonts w:hint="eastAsia" w:ascii="Times New Roman" w:hAnsi="Times New Roman" w:eastAsia="楷体" w:cs="Times New Roman"/>
        </w:rPr>
        <w:t>（四）</w:t>
      </w:r>
      <w:r>
        <w:rPr>
          <w:rFonts w:ascii="Times New Roman" w:hAnsi="Times New Roman" w:eastAsia="楷体" w:cs="Times New Roman"/>
        </w:rPr>
        <w:t>上年度</w:t>
      </w:r>
      <w:r>
        <w:rPr>
          <w:rFonts w:hint="eastAsia" w:ascii="Times New Roman" w:hAnsi="Times New Roman" w:eastAsia="楷体" w:cs="Times New Roman"/>
        </w:rPr>
        <w:t>部门自评</w:t>
      </w:r>
      <w:r>
        <w:rPr>
          <w:rFonts w:ascii="Times New Roman" w:hAnsi="Times New Roman" w:eastAsia="楷体" w:cs="Times New Roman"/>
        </w:rPr>
        <w:t>结果应用情况</w:t>
      </w:r>
      <w:bookmarkEnd w:id="68"/>
      <w:bookmarkEnd w:id="69"/>
      <w:bookmarkEnd w:id="70"/>
      <w:bookmarkEnd w:id="71"/>
      <w:bookmarkEnd w:id="72"/>
    </w:p>
    <w:p>
      <w:pPr>
        <w:spacing w:line="360" w:lineRule="auto"/>
        <w:ind w:firstLine="640"/>
        <w:rPr>
          <w:bCs/>
          <w:szCs w:val="32"/>
        </w:rPr>
      </w:pPr>
      <w:bookmarkStart w:id="73" w:name="_Toc14383"/>
      <w:bookmarkStart w:id="74" w:name="_Toc24560"/>
      <w:bookmarkStart w:id="75" w:name="_Toc17717"/>
      <w:bookmarkStart w:id="76" w:name="_Toc21534"/>
      <w:r>
        <w:rPr>
          <w:rFonts w:hint="eastAsia"/>
          <w:bCs/>
          <w:szCs w:val="32"/>
        </w:rPr>
        <w:t>本项目上年度实施了绩效自评并形成了项目自评报告。对上年度绩效评价结果的具体应用体现在绩效指标进行了优化，调整了部分路灯维护的数量指标，增加了“电费支付完成率100%”指标。</w:t>
      </w:r>
    </w:p>
    <w:p>
      <w:pPr>
        <w:spacing w:line="360" w:lineRule="auto"/>
        <w:ind w:firstLine="640"/>
      </w:pPr>
    </w:p>
    <w:p>
      <w:pPr>
        <w:pStyle w:val="4"/>
        <w:shd w:val="clear" w:color="auto" w:fill="FFFFFF" w:themeFill="background1"/>
        <w:spacing w:before="0" w:after="0" w:line="360" w:lineRule="auto"/>
        <w:ind w:firstLine="643"/>
        <w:contextualSpacing/>
        <w:jc w:val="left"/>
        <w:rPr>
          <w:rFonts w:ascii="Times New Roman" w:hAnsi="Times New Roman" w:eastAsia="楷体" w:cs="Times New Roman"/>
        </w:rPr>
      </w:pPr>
      <w:r>
        <w:rPr>
          <w:rFonts w:hint="eastAsia" w:ascii="Times New Roman" w:hAnsi="Times New Roman" w:eastAsia="楷体" w:cs="Times New Roman"/>
        </w:rPr>
        <w:t>（五）其他佐证材料</w:t>
      </w:r>
      <w:bookmarkEnd w:id="73"/>
      <w:bookmarkEnd w:id="74"/>
      <w:bookmarkEnd w:id="75"/>
      <w:bookmarkEnd w:id="76"/>
    </w:p>
    <w:p>
      <w:pPr>
        <w:shd w:val="clear" w:color="auto" w:fill="FFFFFF" w:themeFill="background1"/>
        <w:spacing w:line="360" w:lineRule="auto"/>
        <w:ind w:firstLine="640"/>
        <w:rPr>
          <w:rFonts w:cs="Times New Roman"/>
          <w:color w:val="auto"/>
          <w:kern w:val="0"/>
          <w:szCs w:val="32"/>
        </w:rPr>
      </w:pPr>
      <w:r>
        <w:rPr>
          <w:rFonts w:hint="eastAsia" w:cs="Times New Roman"/>
          <w:color w:val="auto"/>
          <w:kern w:val="0"/>
          <w:szCs w:val="32"/>
        </w:rPr>
        <w:t>无。</w:t>
      </w:r>
    </w:p>
    <w:p>
      <w:pPr>
        <w:pStyle w:val="2"/>
        <w:spacing w:line="360" w:lineRule="auto"/>
        <w:ind w:firstLine="640"/>
      </w:pPr>
    </w:p>
    <w:p>
      <w:pPr>
        <w:shd w:val="clear" w:color="auto" w:fill="FFFFFF" w:themeFill="background1"/>
        <w:spacing w:line="360" w:lineRule="auto"/>
        <w:ind w:firstLine="640"/>
        <w:jc w:val="right"/>
        <w:rPr>
          <w:rFonts w:cs="Times New Roman"/>
          <w:bCs/>
          <w:color w:val="auto"/>
          <w:szCs w:val="32"/>
        </w:rPr>
      </w:pPr>
      <w:bookmarkStart w:id="77" w:name="_Toc32555"/>
      <w:bookmarkStart w:id="78" w:name="_Toc32181"/>
      <w:bookmarkStart w:id="79" w:name="_Toc20783"/>
      <w:r>
        <w:rPr>
          <w:rFonts w:hint="eastAsia" w:cs="Times New Roman"/>
          <w:bCs/>
          <w:color w:val="auto"/>
          <w:szCs w:val="32"/>
        </w:rPr>
        <w:t>武汉经济技术开发区（汉南区）</w:t>
      </w:r>
      <w:bookmarkEnd w:id="77"/>
      <w:bookmarkEnd w:id="78"/>
      <w:bookmarkEnd w:id="79"/>
      <w:r>
        <w:rPr>
          <w:rFonts w:hint="eastAsia" w:cs="Times New Roman"/>
          <w:bCs/>
          <w:color w:val="auto"/>
          <w:szCs w:val="32"/>
        </w:rPr>
        <w:t>住房和城乡建设局</w:t>
      </w:r>
    </w:p>
    <w:p>
      <w:pPr>
        <w:shd w:val="clear" w:color="auto" w:fill="FFFFFF" w:themeFill="background1"/>
        <w:spacing w:line="360" w:lineRule="auto"/>
        <w:ind w:firstLine="640"/>
        <w:jc w:val="right"/>
        <w:rPr>
          <w:rFonts w:cs="Times New Roman"/>
          <w:bCs/>
          <w:color w:val="auto"/>
          <w:szCs w:val="32"/>
        </w:rPr>
      </w:pPr>
      <w:bookmarkStart w:id="80" w:name="_Toc6034"/>
      <w:bookmarkStart w:id="81" w:name="_Toc27968"/>
      <w:bookmarkStart w:id="82" w:name="_Toc2569"/>
      <w:r>
        <w:rPr>
          <w:rFonts w:hint="eastAsia" w:cs="Times New Roman"/>
          <w:bCs/>
          <w:color w:val="auto"/>
          <w:szCs w:val="32"/>
        </w:rPr>
        <w:t>2023年4月21日</w:t>
      </w:r>
      <w:bookmarkEnd w:id="80"/>
      <w:bookmarkEnd w:id="81"/>
      <w:bookmarkEnd w:id="82"/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2098" w:right="1474" w:bottom="1985" w:left="1588" w:header="1134" w:footer="1134" w:gutter="0"/>
      <w:pgNumType w:start="1"/>
      <w:cols w:space="425" w:num="1"/>
      <w:docGrid w:type="linesAndChar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40"/>
      </w:pPr>
      <w:r>
        <w:separator/>
      </w:r>
    </w:p>
  </w:endnote>
  <w:endnote w:type="continuationSeparator" w:id="1">
    <w:p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59602295"/>
    </w:sdtPr>
    <w:sdtContent>
      <w:p>
        <w:pPr>
          <w:pStyle w:val="16"/>
          <w:ind w:firstLine="360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6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40"/>
      </w:pPr>
      <w:r>
        <w:separator/>
      </w:r>
    </w:p>
  </w:footnote>
  <w:footnote w:type="continuationSeparator" w:id="1">
    <w:p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pBdr>
        <w:bottom w:val="none" w:color="auto" w:sz="0" w:space="1"/>
      </w:pBdr>
      <w:ind w:firstLine="361"/>
      <w:jc w:val="right"/>
      <w:rPr>
        <w:rFonts w:ascii="仿宋_GB2312"/>
        <w:b/>
        <w:bCs/>
        <w:color w:val="auto"/>
        <w:kern w:val="0"/>
        <w:szCs w:val="21"/>
        <w:highlight w:val="gree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hideSpellingErrors/>
  <w:documentProtection w:enforcement="0"/>
  <w:defaultTabStop w:val="420"/>
  <w:drawingGridHorizontalSpacing w:val="140"/>
  <w:drawingGridVerticalSpacing w:val="204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NmMDE5MmVhMGM5YjJmZDI0OWU5NDNiYzU3MmIzMzkifQ=="/>
  </w:docVars>
  <w:rsids>
    <w:rsidRoot w:val="00172A27"/>
    <w:rsid w:val="00000BCE"/>
    <w:rsid w:val="0000235E"/>
    <w:rsid w:val="00005ACA"/>
    <w:rsid w:val="00041573"/>
    <w:rsid w:val="00042F0E"/>
    <w:rsid w:val="0004520B"/>
    <w:rsid w:val="00045A13"/>
    <w:rsid w:val="000469E9"/>
    <w:rsid w:val="00057DB9"/>
    <w:rsid w:val="00063B28"/>
    <w:rsid w:val="000776B3"/>
    <w:rsid w:val="00082095"/>
    <w:rsid w:val="00090B91"/>
    <w:rsid w:val="00097D86"/>
    <w:rsid w:val="000A3161"/>
    <w:rsid w:val="000C740B"/>
    <w:rsid w:val="000C7EF3"/>
    <w:rsid w:val="000D0C9C"/>
    <w:rsid w:val="000D16ED"/>
    <w:rsid w:val="000D345F"/>
    <w:rsid w:val="000E3B94"/>
    <w:rsid w:val="000E4C5F"/>
    <w:rsid w:val="000F00A1"/>
    <w:rsid w:val="00100ED5"/>
    <w:rsid w:val="001056B5"/>
    <w:rsid w:val="00105BB0"/>
    <w:rsid w:val="0010757C"/>
    <w:rsid w:val="00112904"/>
    <w:rsid w:val="0011382C"/>
    <w:rsid w:val="00113DB3"/>
    <w:rsid w:val="0012463E"/>
    <w:rsid w:val="00137496"/>
    <w:rsid w:val="00137FB6"/>
    <w:rsid w:val="00157776"/>
    <w:rsid w:val="00157D03"/>
    <w:rsid w:val="00160436"/>
    <w:rsid w:val="0016503E"/>
    <w:rsid w:val="0016756C"/>
    <w:rsid w:val="00172A27"/>
    <w:rsid w:val="00175DBC"/>
    <w:rsid w:val="00176ACE"/>
    <w:rsid w:val="001776F1"/>
    <w:rsid w:val="00183400"/>
    <w:rsid w:val="00186A63"/>
    <w:rsid w:val="00190AB0"/>
    <w:rsid w:val="00192AE2"/>
    <w:rsid w:val="001935A2"/>
    <w:rsid w:val="00197D40"/>
    <w:rsid w:val="001A7916"/>
    <w:rsid w:val="001B4692"/>
    <w:rsid w:val="001B4A5E"/>
    <w:rsid w:val="001C2DB0"/>
    <w:rsid w:val="001C6082"/>
    <w:rsid w:val="001D0B01"/>
    <w:rsid w:val="001E4D34"/>
    <w:rsid w:val="001E6002"/>
    <w:rsid w:val="001F111C"/>
    <w:rsid w:val="001F2A79"/>
    <w:rsid w:val="001F40C7"/>
    <w:rsid w:val="001F6798"/>
    <w:rsid w:val="00202C21"/>
    <w:rsid w:val="002056EC"/>
    <w:rsid w:val="00205DC3"/>
    <w:rsid w:val="00207DFA"/>
    <w:rsid w:val="00210803"/>
    <w:rsid w:val="00213964"/>
    <w:rsid w:val="00215AC2"/>
    <w:rsid w:val="00216E7E"/>
    <w:rsid w:val="002222F3"/>
    <w:rsid w:val="0022638E"/>
    <w:rsid w:val="00242223"/>
    <w:rsid w:val="00242BDA"/>
    <w:rsid w:val="002447B8"/>
    <w:rsid w:val="00253BC9"/>
    <w:rsid w:val="00274644"/>
    <w:rsid w:val="00277235"/>
    <w:rsid w:val="00281FE0"/>
    <w:rsid w:val="00292E9C"/>
    <w:rsid w:val="0029370A"/>
    <w:rsid w:val="00297D4D"/>
    <w:rsid w:val="002A41AD"/>
    <w:rsid w:val="002A461B"/>
    <w:rsid w:val="002A76C8"/>
    <w:rsid w:val="002B54B8"/>
    <w:rsid w:val="002B78B4"/>
    <w:rsid w:val="002C400D"/>
    <w:rsid w:val="002C70BD"/>
    <w:rsid w:val="002D141B"/>
    <w:rsid w:val="002E5C09"/>
    <w:rsid w:val="002E63B8"/>
    <w:rsid w:val="002F115A"/>
    <w:rsid w:val="002F2D56"/>
    <w:rsid w:val="002F43A4"/>
    <w:rsid w:val="002F52EC"/>
    <w:rsid w:val="00301DD5"/>
    <w:rsid w:val="00307440"/>
    <w:rsid w:val="003121C1"/>
    <w:rsid w:val="00313CCC"/>
    <w:rsid w:val="0031733A"/>
    <w:rsid w:val="003257A1"/>
    <w:rsid w:val="00333AF8"/>
    <w:rsid w:val="0034643F"/>
    <w:rsid w:val="00347CB6"/>
    <w:rsid w:val="00350E53"/>
    <w:rsid w:val="00363C22"/>
    <w:rsid w:val="0037112F"/>
    <w:rsid w:val="00376564"/>
    <w:rsid w:val="0037710D"/>
    <w:rsid w:val="003A2520"/>
    <w:rsid w:val="003A509A"/>
    <w:rsid w:val="003A6643"/>
    <w:rsid w:val="003A794C"/>
    <w:rsid w:val="003B32F5"/>
    <w:rsid w:val="003B7807"/>
    <w:rsid w:val="003C3CD9"/>
    <w:rsid w:val="003C7E0D"/>
    <w:rsid w:val="003D0D08"/>
    <w:rsid w:val="003D5609"/>
    <w:rsid w:val="003D63FE"/>
    <w:rsid w:val="003D7415"/>
    <w:rsid w:val="003E4867"/>
    <w:rsid w:val="003F4432"/>
    <w:rsid w:val="003F52E5"/>
    <w:rsid w:val="0040029B"/>
    <w:rsid w:val="00401F6B"/>
    <w:rsid w:val="004116EE"/>
    <w:rsid w:val="00413859"/>
    <w:rsid w:val="00416A95"/>
    <w:rsid w:val="004214BF"/>
    <w:rsid w:val="0042449A"/>
    <w:rsid w:val="00427690"/>
    <w:rsid w:val="00432D6A"/>
    <w:rsid w:val="00433332"/>
    <w:rsid w:val="00434321"/>
    <w:rsid w:val="00437591"/>
    <w:rsid w:val="0044098A"/>
    <w:rsid w:val="00442196"/>
    <w:rsid w:val="00442525"/>
    <w:rsid w:val="0044364E"/>
    <w:rsid w:val="00447202"/>
    <w:rsid w:val="004479C4"/>
    <w:rsid w:val="0045701F"/>
    <w:rsid w:val="00457393"/>
    <w:rsid w:val="00460E20"/>
    <w:rsid w:val="00461170"/>
    <w:rsid w:val="00463143"/>
    <w:rsid w:val="00472FE1"/>
    <w:rsid w:val="00475FC0"/>
    <w:rsid w:val="00477B52"/>
    <w:rsid w:val="00486521"/>
    <w:rsid w:val="00491C41"/>
    <w:rsid w:val="00495268"/>
    <w:rsid w:val="004A3989"/>
    <w:rsid w:val="004A72D0"/>
    <w:rsid w:val="004B46C2"/>
    <w:rsid w:val="004B52B8"/>
    <w:rsid w:val="004B67C0"/>
    <w:rsid w:val="004B7F17"/>
    <w:rsid w:val="004D01EA"/>
    <w:rsid w:val="004D04CA"/>
    <w:rsid w:val="004D05A4"/>
    <w:rsid w:val="004D05BF"/>
    <w:rsid w:val="004D139B"/>
    <w:rsid w:val="004D37E1"/>
    <w:rsid w:val="004D39EC"/>
    <w:rsid w:val="004D4CE8"/>
    <w:rsid w:val="004E0CC3"/>
    <w:rsid w:val="004E2C3E"/>
    <w:rsid w:val="004E738A"/>
    <w:rsid w:val="004F1970"/>
    <w:rsid w:val="005012C1"/>
    <w:rsid w:val="0050166A"/>
    <w:rsid w:val="005018B1"/>
    <w:rsid w:val="00501A00"/>
    <w:rsid w:val="00505FAA"/>
    <w:rsid w:val="005124ED"/>
    <w:rsid w:val="005143EF"/>
    <w:rsid w:val="005211A6"/>
    <w:rsid w:val="00521539"/>
    <w:rsid w:val="00523725"/>
    <w:rsid w:val="00524D1B"/>
    <w:rsid w:val="00525D9F"/>
    <w:rsid w:val="005317BB"/>
    <w:rsid w:val="005361CA"/>
    <w:rsid w:val="005364A0"/>
    <w:rsid w:val="005479F7"/>
    <w:rsid w:val="00547A7F"/>
    <w:rsid w:val="005537B6"/>
    <w:rsid w:val="00560931"/>
    <w:rsid w:val="00561BB7"/>
    <w:rsid w:val="0056241D"/>
    <w:rsid w:val="00562647"/>
    <w:rsid w:val="00563387"/>
    <w:rsid w:val="00566DBF"/>
    <w:rsid w:val="005704EF"/>
    <w:rsid w:val="00574F25"/>
    <w:rsid w:val="0057621F"/>
    <w:rsid w:val="0057709B"/>
    <w:rsid w:val="00584F40"/>
    <w:rsid w:val="00585B6E"/>
    <w:rsid w:val="00591506"/>
    <w:rsid w:val="00591650"/>
    <w:rsid w:val="005A0F51"/>
    <w:rsid w:val="005B1BB4"/>
    <w:rsid w:val="005B5CC9"/>
    <w:rsid w:val="005B7EF8"/>
    <w:rsid w:val="005D2B03"/>
    <w:rsid w:val="005D5475"/>
    <w:rsid w:val="005D7D7D"/>
    <w:rsid w:val="005E3F49"/>
    <w:rsid w:val="005F0BEB"/>
    <w:rsid w:val="005F194D"/>
    <w:rsid w:val="005F3191"/>
    <w:rsid w:val="005F5F2E"/>
    <w:rsid w:val="005F684E"/>
    <w:rsid w:val="005F77AC"/>
    <w:rsid w:val="00603BCB"/>
    <w:rsid w:val="00606D4C"/>
    <w:rsid w:val="00607105"/>
    <w:rsid w:val="00610934"/>
    <w:rsid w:val="00612293"/>
    <w:rsid w:val="00622D34"/>
    <w:rsid w:val="0063570D"/>
    <w:rsid w:val="006363F3"/>
    <w:rsid w:val="00642CE6"/>
    <w:rsid w:val="00643314"/>
    <w:rsid w:val="0065483E"/>
    <w:rsid w:val="006553BE"/>
    <w:rsid w:val="0066309B"/>
    <w:rsid w:val="0066674C"/>
    <w:rsid w:val="0067084C"/>
    <w:rsid w:val="006721F0"/>
    <w:rsid w:val="006735E6"/>
    <w:rsid w:val="00681307"/>
    <w:rsid w:val="006835DD"/>
    <w:rsid w:val="006841B6"/>
    <w:rsid w:val="006868DB"/>
    <w:rsid w:val="00695974"/>
    <w:rsid w:val="006A077A"/>
    <w:rsid w:val="006A0F96"/>
    <w:rsid w:val="006A4D2C"/>
    <w:rsid w:val="006B0900"/>
    <w:rsid w:val="006B32E0"/>
    <w:rsid w:val="006C1A51"/>
    <w:rsid w:val="006D0151"/>
    <w:rsid w:val="006D1AA1"/>
    <w:rsid w:val="006E2E4B"/>
    <w:rsid w:val="006E3385"/>
    <w:rsid w:val="006E6118"/>
    <w:rsid w:val="006F0B86"/>
    <w:rsid w:val="006F1735"/>
    <w:rsid w:val="006F563D"/>
    <w:rsid w:val="0070143B"/>
    <w:rsid w:val="007140F3"/>
    <w:rsid w:val="00723325"/>
    <w:rsid w:val="00726383"/>
    <w:rsid w:val="007270A2"/>
    <w:rsid w:val="0072752E"/>
    <w:rsid w:val="00727DCF"/>
    <w:rsid w:val="00734427"/>
    <w:rsid w:val="00735A4A"/>
    <w:rsid w:val="00737E45"/>
    <w:rsid w:val="00740F51"/>
    <w:rsid w:val="00742B46"/>
    <w:rsid w:val="007553EB"/>
    <w:rsid w:val="007562F3"/>
    <w:rsid w:val="007634B9"/>
    <w:rsid w:val="00767E21"/>
    <w:rsid w:val="00775F0E"/>
    <w:rsid w:val="00776923"/>
    <w:rsid w:val="00777B26"/>
    <w:rsid w:val="007803EF"/>
    <w:rsid w:val="0078071F"/>
    <w:rsid w:val="00780C86"/>
    <w:rsid w:val="007816BD"/>
    <w:rsid w:val="007839C9"/>
    <w:rsid w:val="00785608"/>
    <w:rsid w:val="007859AE"/>
    <w:rsid w:val="0078607B"/>
    <w:rsid w:val="0079042A"/>
    <w:rsid w:val="00790EA6"/>
    <w:rsid w:val="007919FC"/>
    <w:rsid w:val="00794467"/>
    <w:rsid w:val="007A046C"/>
    <w:rsid w:val="007A27B6"/>
    <w:rsid w:val="007A2A85"/>
    <w:rsid w:val="007A77C9"/>
    <w:rsid w:val="007B11C9"/>
    <w:rsid w:val="007B2EEA"/>
    <w:rsid w:val="007B331C"/>
    <w:rsid w:val="007B6E85"/>
    <w:rsid w:val="007C0EE6"/>
    <w:rsid w:val="007C3F80"/>
    <w:rsid w:val="007C5737"/>
    <w:rsid w:val="007C7C58"/>
    <w:rsid w:val="007D084E"/>
    <w:rsid w:val="007D4314"/>
    <w:rsid w:val="007D7C3B"/>
    <w:rsid w:val="007D7C80"/>
    <w:rsid w:val="007E418B"/>
    <w:rsid w:val="007F1D75"/>
    <w:rsid w:val="007F789E"/>
    <w:rsid w:val="008029EF"/>
    <w:rsid w:val="00810E03"/>
    <w:rsid w:val="0081232B"/>
    <w:rsid w:val="00812B7F"/>
    <w:rsid w:val="0082075E"/>
    <w:rsid w:val="0083645F"/>
    <w:rsid w:val="00843C0A"/>
    <w:rsid w:val="008472BD"/>
    <w:rsid w:val="008502E4"/>
    <w:rsid w:val="00853E10"/>
    <w:rsid w:val="008549A9"/>
    <w:rsid w:val="00856928"/>
    <w:rsid w:val="00856EF9"/>
    <w:rsid w:val="00857F84"/>
    <w:rsid w:val="008609A6"/>
    <w:rsid w:val="00861E3F"/>
    <w:rsid w:val="0086496D"/>
    <w:rsid w:val="00864C95"/>
    <w:rsid w:val="00865A2B"/>
    <w:rsid w:val="00870A23"/>
    <w:rsid w:val="0087643A"/>
    <w:rsid w:val="0087757B"/>
    <w:rsid w:val="00877E54"/>
    <w:rsid w:val="008836B1"/>
    <w:rsid w:val="00883946"/>
    <w:rsid w:val="008873D3"/>
    <w:rsid w:val="008A0F3D"/>
    <w:rsid w:val="008A12BD"/>
    <w:rsid w:val="008A552E"/>
    <w:rsid w:val="008B112E"/>
    <w:rsid w:val="008B76A6"/>
    <w:rsid w:val="008C422A"/>
    <w:rsid w:val="008C5E3D"/>
    <w:rsid w:val="008D41B3"/>
    <w:rsid w:val="008E25EB"/>
    <w:rsid w:val="008E44E7"/>
    <w:rsid w:val="008E553A"/>
    <w:rsid w:val="008F081B"/>
    <w:rsid w:val="008F1329"/>
    <w:rsid w:val="008F6E39"/>
    <w:rsid w:val="00903CD6"/>
    <w:rsid w:val="00906C32"/>
    <w:rsid w:val="009111B9"/>
    <w:rsid w:val="00912BBC"/>
    <w:rsid w:val="00913A79"/>
    <w:rsid w:val="009159AD"/>
    <w:rsid w:val="00924611"/>
    <w:rsid w:val="009264BE"/>
    <w:rsid w:val="00930226"/>
    <w:rsid w:val="00930BA2"/>
    <w:rsid w:val="00935348"/>
    <w:rsid w:val="00940C31"/>
    <w:rsid w:val="00942ED1"/>
    <w:rsid w:val="00944272"/>
    <w:rsid w:val="00955DB7"/>
    <w:rsid w:val="0096250B"/>
    <w:rsid w:val="0096345A"/>
    <w:rsid w:val="009703F6"/>
    <w:rsid w:val="009768D3"/>
    <w:rsid w:val="00977073"/>
    <w:rsid w:val="009775EE"/>
    <w:rsid w:val="0098020F"/>
    <w:rsid w:val="00981ADA"/>
    <w:rsid w:val="009820F5"/>
    <w:rsid w:val="00990327"/>
    <w:rsid w:val="009A5A5B"/>
    <w:rsid w:val="009A789A"/>
    <w:rsid w:val="009B20AF"/>
    <w:rsid w:val="009B5280"/>
    <w:rsid w:val="009C5AEB"/>
    <w:rsid w:val="009C5B47"/>
    <w:rsid w:val="009D5F80"/>
    <w:rsid w:val="009E15E5"/>
    <w:rsid w:val="009E5535"/>
    <w:rsid w:val="009E583D"/>
    <w:rsid w:val="009E5DF0"/>
    <w:rsid w:val="009F3A72"/>
    <w:rsid w:val="009F7C8F"/>
    <w:rsid w:val="00A021CF"/>
    <w:rsid w:val="00A04703"/>
    <w:rsid w:val="00A11126"/>
    <w:rsid w:val="00A12791"/>
    <w:rsid w:val="00A1348C"/>
    <w:rsid w:val="00A17720"/>
    <w:rsid w:val="00A206AA"/>
    <w:rsid w:val="00A20CE0"/>
    <w:rsid w:val="00A2555F"/>
    <w:rsid w:val="00A27B77"/>
    <w:rsid w:val="00A3385E"/>
    <w:rsid w:val="00A34CBE"/>
    <w:rsid w:val="00A40E42"/>
    <w:rsid w:val="00A42D0C"/>
    <w:rsid w:val="00A5209D"/>
    <w:rsid w:val="00A52524"/>
    <w:rsid w:val="00A62E19"/>
    <w:rsid w:val="00A65F2E"/>
    <w:rsid w:val="00A77624"/>
    <w:rsid w:val="00A77CBA"/>
    <w:rsid w:val="00A82ECE"/>
    <w:rsid w:val="00A9175B"/>
    <w:rsid w:val="00AA4899"/>
    <w:rsid w:val="00AA6965"/>
    <w:rsid w:val="00AB22F1"/>
    <w:rsid w:val="00AB4AA7"/>
    <w:rsid w:val="00AB6533"/>
    <w:rsid w:val="00AB763C"/>
    <w:rsid w:val="00AC00AC"/>
    <w:rsid w:val="00AD4C79"/>
    <w:rsid w:val="00AD6177"/>
    <w:rsid w:val="00AD67A4"/>
    <w:rsid w:val="00AE279B"/>
    <w:rsid w:val="00AE44AE"/>
    <w:rsid w:val="00AF6938"/>
    <w:rsid w:val="00AF6B37"/>
    <w:rsid w:val="00AF6E00"/>
    <w:rsid w:val="00B01C12"/>
    <w:rsid w:val="00B0205D"/>
    <w:rsid w:val="00B04200"/>
    <w:rsid w:val="00B0435C"/>
    <w:rsid w:val="00B04F78"/>
    <w:rsid w:val="00B0660A"/>
    <w:rsid w:val="00B07690"/>
    <w:rsid w:val="00B1270E"/>
    <w:rsid w:val="00B30029"/>
    <w:rsid w:val="00B322E3"/>
    <w:rsid w:val="00B37D8E"/>
    <w:rsid w:val="00B452C2"/>
    <w:rsid w:val="00B45BDB"/>
    <w:rsid w:val="00B531BE"/>
    <w:rsid w:val="00B70E80"/>
    <w:rsid w:val="00B718A6"/>
    <w:rsid w:val="00B755AD"/>
    <w:rsid w:val="00B758D4"/>
    <w:rsid w:val="00B76E70"/>
    <w:rsid w:val="00B777E8"/>
    <w:rsid w:val="00B8113F"/>
    <w:rsid w:val="00B81BA0"/>
    <w:rsid w:val="00B93678"/>
    <w:rsid w:val="00B95408"/>
    <w:rsid w:val="00BA415E"/>
    <w:rsid w:val="00BA639C"/>
    <w:rsid w:val="00BA7B1E"/>
    <w:rsid w:val="00BB3A3C"/>
    <w:rsid w:val="00BB4FE5"/>
    <w:rsid w:val="00BB59FC"/>
    <w:rsid w:val="00BC2800"/>
    <w:rsid w:val="00BD0663"/>
    <w:rsid w:val="00BD0D7C"/>
    <w:rsid w:val="00BD214A"/>
    <w:rsid w:val="00BD2AA2"/>
    <w:rsid w:val="00BE2B4D"/>
    <w:rsid w:val="00BE3123"/>
    <w:rsid w:val="00BF11CA"/>
    <w:rsid w:val="00C0502A"/>
    <w:rsid w:val="00C051F6"/>
    <w:rsid w:val="00C3790C"/>
    <w:rsid w:val="00C47369"/>
    <w:rsid w:val="00C53CD5"/>
    <w:rsid w:val="00C568FA"/>
    <w:rsid w:val="00C5750E"/>
    <w:rsid w:val="00C648C6"/>
    <w:rsid w:val="00C6500F"/>
    <w:rsid w:val="00C658E7"/>
    <w:rsid w:val="00C700E3"/>
    <w:rsid w:val="00C70DC3"/>
    <w:rsid w:val="00C75F6D"/>
    <w:rsid w:val="00C87899"/>
    <w:rsid w:val="00C967E8"/>
    <w:rsid w:val="00CA5E09"/>
    <w:rsid w:val="00CA6A09"/>
    <w:rsid w:val="00CB1B36"/>
    <w:rsid w:val="00CB5754"/>
    <w:rsid w:val="00CB6C48"/>
    <w:rsid w:val="00CB7449"/>
    <w:rsid w:val="00CC05EC"/>
    <w:rsid w:val="00CC24DA"/>
    <w:rsid w:val="00CD24B4"/>
    <w:rsid w:val="00CD4462"/>
    <w:rsid w:val="00CD574B"/>
    <w:rsid w:val="00CE3B76"/>
    <w:rsid w:val="00CE4EAF"/>
    <w:rsid w:val="00CF14DD"/>
    <w:rsid w:val="00CF66CD"/>
    <w:rsid w:val="00D108CF"/>
    <w:rsid w:val="00D130BF"/>
    <w:rsid w:val="00D13AAD"/>
    <w:rsid w:val="00D17911"/>
    <w:rsid w:val="00D31233"/>
    <w:rsid w:val="00D33870"/>
    <w:rsid w:val="00D36CF6"/>
    <w:rsid w:val="00D4255E"/>
    <w:rsid w:val="00D46F74"/>
    <w:rsid w:val="00D4774C"/>
    <w:rsid w:val="00D528E3"/>
    <w:rsid w:val="00D535C0"/>
    <w:rsid w:val="00D53FDF"/>
    <w:rsid w:val="00D54038"/>
    <w:rsid w:val="00D549EE"/>
    <w:rsid w:val="00D60682"/>
    <w:rsid w:val="00D720DA"/>
    <w:rsid w:val="00D73537"/>
    <w:rsid w:val="00D76AA0"/>
    <w:rsid w:val="00D8553E"/>
    <w:rsid w:val="00D85A83"/>
    <w:rsid w:val="00D876E2"/>
    <w:rsid w:val="00D90510"/>
    <w:rsid w:val="00D955C0"/>
    <w:rsid w:val="00D961E0"/>
    <w:rsid w:val="00D974D8"/>
    <w:rsid w:val="00DA01B6"/>
    <w:rsid w:val="00DA1255"/>
    <w:rsid w:val="00DB3D86"/>
    <w:rsid w:val="00DB5393"/>
    <w:rsid w:val="00DB785D"/>
    <w:rsid w:val="00DC1D6A"/>
    <w:rsid w:val="00DC3751"/>
    <w:rsid w:val="00DD0C8A"/>
    <w:rsid w:val="00DD2367"/>
    <w:rsid w:val="00DD30A3"/>
    <w:rsid w:val="00DD6D43"/>
    <w:rsid w:val="00DE5F2D"/>
    <w:rsid w:val="00DF40F5"/>
    <w:rsid w:val="00DF52A3"/>
    <w:rsid w:val="00DF558F"/>
    <w:rsid w:val="00E004B9"/>
    <w:rsid w:val="00E0756A"/>
    <w:rsid w:val="00E11CC2"/>
    <w:rsid w:val="00E202FC"/>
    <w:rsid w:val="00E23342"/>
    <w:rsid w:val="00E24E3F"/>
    <w:rsid w:val="00E41E33"/>
    <w:rsid w:val="00E461E7"/>
    <w:rsid w:val="00E463D8"/>
    <w:rsid w:val="00E5434B"/>
    <w:rsid w:val="00E66991"/>
    <w:rsid w:val="00E710AD"/>
    <w:rsid w:val="00E74284"/>
    <w:rsid w:val="00E74CE0"/>
    <w:rsid w:val="00E80A91"/>
    <w:rsid w:val="00E80E4E"/>
    <w:rsid w:val="00E81E2B"/>
    <w:rsid w:val="00E82158"/>
    <w:rsid w:val="00E851E6"/>
    <w:rsid w:val="00E869B5"/>
    <w:rsid w:val="00E90231"/>
    <w:rsid w:val="00E972E3"/>
    <w:rsid w:val="00EA4355"/>
    <w:rsid w:val="00EB4297"/>
    <w:rsid w:val="00EB42CA"/>
    <w:rsid w:val="00EC3C9B"/>
    <w:rsid w:val="00EC48BC"/>
    <w:rsid w:val="00ED0D27"/>
    <w:rsid w:val="00ED0EC0"/>
    <w:rsid w:val="00EE0B57"/>
    <w:rsid w:val="00EE20FC"/>
    <w:rsid w:val="00EE3BD0"/>
    <w:rsid w:val="00EE64F2"/>
    <w:rsid w:val="00EE75EE"/>
    <w:rsid w:val="00EF2C72"/>
    <w:rsid w:val="00EF34D4"/>
    <w:rsid w:val="00EF48B5"/>
    <w:rsid w:val="00EF706B"/>
    <w:rsid w:val="00F009EF"/>
    <w:rsid w:val="00F05808"/>
    <w:rsid w:val="00F06A6A"/>
    <w:rsid w:val="00F06C8E"/>
    <w:rsid w:val="00F07E11"/>
    <w:rsid w:val="00F11443"/>
    <w:rsid w:val="00F13BC5"/>
    <w:rsid w:val="00F13BC9"/>
    <w:rsid w:val="00F252EA"/>
    <w:rsid w:val="00F279C5"/>
    <w:rsid w:val="00F30649"/>
    <w:rsid w:val="00F310BE"/>
    <w:rsid w:val="00F45609"/>
    <w:rsid w:val="00F54A04"/>
    <w:rsid w:val="00F54D88"/>
    <w:rsid w:val="00F55A67"/>
    <w:rsid w:val="00F55E04"/>
    <w:rsid w:val="00F57D24"/>
    <w:rsid w:val="00F66E2A"/>
    <w:rsid w:val="00F772E3"/>
    <w:rsid w:val="00F82A64"/>
    <w:rsid w:val="00F84159"/>
    <w:rsid w:val="00F91F76"/>
    <w:rsid w:val="00F94346"/>
    <w:rsid w:val="00F96C66"/>
    <w:rsid w:val="00FA363F"/>
    <w:rsid w:val="00FB1612"/>
    <w:rsid w:val="00FB3255"/>
    <w:rsid w:val="00FC0048"/>
    <w:rsid w:val="00FC11E7"/>
    <w:rsid w:val="00FC4218"/>
    <w:rsid w:val="00FD738A"/>
    <w:rsid w:val="00FE0134"/>
    <w:rsid w:val="00FE7D73"/>
    <w:rsid w:val="00FF6200"/>
    <w:rsid w:val="01313540"/>
    <w:rsid w:val="024232A4"/>
    <w:rsid w:val="02776055"/>
    <w:rsid w:val="036D3BE0"/>
    <w:rsid w:val="036E2A1F"/>
    <w:rsid w:val="03B71C58"/>
    <w:rsid w:val="044A0C1B"/>
    <w:rsid w:val="049847A1"/>
    <w:rsid w:val="04BD4A9D"/>
    <w:rsid w:val="05531C77"/>
    <w:rsid w:val="05D26698"/>
    <w:rsid w:val="06572AF0"/>
    <w:rsid w:val="072A5838"/>
    <w:rsid w:val="076C23B4"/>
    <w:rsid w:val="07B079A4"/>
    <w:rsid w:val="08412974"/>
    <w:rsid w:val="084A2600"/>
    <w:rsid w:val="08604239"/>
    <w:rsid w:val="08E614BF"/>
    <w:rsid w:val="08FA61C3"/>
    <w:rsid w:val="097E05F5"/>
    <w:rsid w:val="09F707CE"/>
    <w:rsid w:val="0AC8577F"/>
    <w:rsid w:val="0B656913"/>
    <w:rsid w:val="0BF22DCF"/>
    <w:rsid w:val="0C082429"/>
    <w:rsid w:val="0C493DF8"/>
    <w:rsid w:val="0DBF5BFD"/>
    <w:rsid w:val="0EC57EF8"/>
    <w:rsid w:val="0EDD410B"/>
    <w:rsid w:val="0F0601E2"/>
    <w:rsid w:val="0F3F0608"/>
    <w:rsid w:val="0F4F4A37"/>
    <w:rsid w:val="0F797617"/>
    <w:rsid w:val="0FB524D8"/>
    <w:rsid w:val="107C7A5F"/>
    <w:rsid w:val="10CF3D63"/>
    <w:rsid w:val="10F55DCB"/>
    <w:rsid w:val="113F6C8F"/>
    <w:rsid w:val="11BE7B5C"/>
    <w:rsid w:val="11DA0840"/>
    <w:rsid w:val="12412ACA"/>
    <w:rsid w:val="12474897"/>
    <w:rsid w:val="12CA55C4"/>
    <w:rsid w:val="12EE19BE"/>
    <w:rsid w:val="13613BE1"/>
    <w:rsid w:val="14244852"/>
    <w:rsid w:val="14B0328A"/>
    <w:rsid w:val="14B51326"/>
    <w:rsid w:val="14CF2CB6"/>
    <w:rsid w:val="15C46F63"/>
    <w:rsid w:val="166A71F4"/>
    <w:rsid w:val="16971C8E"/>
    <w:rsid w:val="16DD5AF2"/>
    <w:rsid w:val="17005DDA"/>
    <w:rsid w:val="179B4D9D"/>
    <w:rsid w:val="18FB0DD9"/>
    <w:rsid w:val="19900D35"/>
    <w:rsid w:val="19924586"/>
    <w:rsid w:val="1A81787B"/>
    <w:rsid w:val="1B026E16"/>
    <w:rsid w:val="1B6313F3"/>
    <w:rsid w:val="1B7846C6"/>
    <w:rsid w:val="1C104AD4"/>
    <w:rsid w:val="1CF965EF"/>
    <w:rsid w:val="1D30098B"/>
    <w:rsid w:val="1D40714D"/>
    <w:rsid w:val="1DD76909"/>
    <w:rsid w:val="1DE7215F"/>
    <w:rsid w:val="1E050ED5"/>
    <w:rsid w:val="1E3F55AE"/>
    <w:rsid w:val="1E6A7BB2"/>
    <w:rsid w:val="1E782BDB"/>
    <w:rsid w:val="1EE23464"/>
    <w:rsid w:val="1F572509"/>
    <w:rsid w:val="1F5775A2"/>
    <w:rsid w:val="1FEB3548"/>
    <w:rsid w:val="20A63291"/>
    <w:rsid w:val="20DD1F8C"/>
    <w:rsid w:val="21113084"/>
    <w:rsid w:val="21802732"/>
    <w:rsid w:val="21E8671C"/>
    <w:rsid w:val="22456C64"/>
    <w:rsid w:val="22AA3757"/>
    <w:rsid w:val="22C974E5"/>
    <w:rsid w:val="22E349F2"/>
    <w:rsid w:val="231D23C6"/>
    <w:rsid w:val="232269D1"/>
    <w:rsid w:val="232621DD"/>
    <w:rsid w:val="233738D3"/>
    <w:rsid w:val="23495265"/>
    <w:rsid w:val="236F776C"/>
    <w:rsid w:val="240759D6"/>
    <w:rsid w:val="246B4F37"/>
    <w:rsid w:val="24D4291D"/>
    <w:rsid w:val="259E2CD6"/>
    <w:rsid w:val="261C51F0"/>
    <w:rsid w:val="262140CD"/>
    <w:rsid w:val="264A117F"/>
    <w:rsid w:val="26986994"/>
    <w:rsid w:val="26CB6A94"/>
    <w:rsid w:val="272F1C49"/>
    <w:rsid w:val="27435B2D"/>
    <w:rsid w:val="278528D4"/>
    <w:rsid w:val="27944AF9"/>
    <w:rsid w:val="27DA55A6"/>
    <w:rsid w:val="28466408"/>
    <w:rsid w:val="299D5CE7"/>
    <w:rsid w:val="2A4354D4"/>
    <w:rsid w:val="2A850ECA"/>
    <w:rsid w:val="2A874D1D"/>
    <w:rsid w:val="2AAA7A11"/>
    <w:rsid w:val="2ACC6A20"/>
    <w:rsid w:val="2B1C0A93"/>
    <w:rsid w:val="2B3F79DB"/>
    <w:rsid w:val="2B545F28"/>
    <w:rsid w:val="2B585398"/>
    <w:rsid w:val="2BDA4E40"/>
    <w:rsid w:val="2C64728A"/>
    <w:rsid w:val="2C9A1AF4"/>
    <w:rsid w:val="2CD83B77"/>
    <w:rsid w:val="2DFE5C6B"/>
    <w:rsid w:val="2E1E559E"/>
    <w:rsid w:val="2E5A6865"/>
    <w:rsid w:val="2E6C2F7A"/>
    <w:rsid w:val="2E8144DD"/>
    <w:rsid w:val="2EA20008"/>
    <w:rsid w:val="2EC46471"/>
    <w:rsid w:val="2F9624C7"/>
    <w:rsid w:val="2FFC5966"/>
    <w:rsid w:val="300E0783"/>
    <w:rsid w:val="305C03AC"/>
    <w:rsid w:val="307211E8"/>
    <w:rsid w:val="30AB234B"/>
    <w:rsid w:val="311808BB"/>
    <w:rsid w:val="318A2687"/>
    <w:rsid w:val="32051CD4"/>
    <w:rsid w:val="33426245"/>
    <w:rsid w:val="33865058"/>
    <w:rsid w:val="33B24FA9"/>
    <w:rsid w:val="351A2E78"/>
    <w:rsid w:val="353D51C5"/>
    <w:rsid w:val="35A63E94"/>
    <w:rsid w:val="36047229"/>
    <w:rsid w:val="36221461"/>
    <w:rsid w:val="36244D33"/>
    <w:rsid w:val="364F1FD2"/>
    <w:rsid w:val="364F3BF3"/>
    <w:rsid w:val="36894C12"/>
    <w:rsid w:val="369F177E"/>
    <w:rsid w:val="36BE63C3"/>
    <w:rsid w:val="379B020E"/>
    <w:rsid w:val="37F74A1B"/>
    <w:rsid w:val="381C7917"/>
    <w:rsid w:val="38C04BD1"/>
    <w:rsid w:val="38D17E4C"/>
    <w:rsid w:val="393F4B8E"/>
    <w:rsid w:val="39AB6039"/>
    <w:rsid w:val="3A933FF4"/>
    <w:rsid w:val="3AAF2D21"/>
    <w:rsid w:val="3B223EA3"/>
    <w:rsid w:val="3B47028A"/>
    <w:rsid w:val="3B5C7CD9"/>
    <w:rsid w:val="3C3E2B59"/>
    <w:rsid w:val="3CC66EE8"/>
    <w:rsid w:val="3DE701D1"/>
    <w:rsid w:val="3E561633"/>
    <w:rsid w:val="3E6738DC"/>
    <w:rsid w:val="3E846A0B"/>
    <w:rsid w:val="40561CA7"/>
    <w:rsid w:val="414313AF"/>
    <w:rsid w:val="422679BF"/>
    <w:rsid w:val="42D746AD"/>
    <w:rsid w:val="43941FDA"/>
    <w:rsid w:val="445C18DD"/>
    <w:rsid w:val="45031110"/>
    <w:rsid w:val="45590F5C"/>
    <w:rsid w:val="460E70A4"/>
    <w:rsid w:val="46222CDE"/>
    <w:rsid w:val="46252B64"/>
    <w:rsid w:val="46B86202"/>
    <w:rsid w:val="46C82706"/>
    <w:rsid w:val="47273F86"/>
    <w:rsid w:val="4868343D"/>
    <w:rsid w:val="486A0493"/>
    <w:rsid w:val="49501A22"/>
    <w:rsid w:val="49BF5CB7"/>
    <w:rsid w:val="4A866E5E"/>
    <w:rsid w:val="4AB942D8"/>
    <w:rsid w:val="4B02325D"/>
    <w:rsid w:val="4B1D0572"/>
    <w:rsid w:val="4B2C565D"/>
    <w:rsid w:val="4B4F2176"/>
    <w:rsid w:val="4BE97ED5"/>
    <w:rsid w:val="4BEA1320"/>
    <w:rsid w:val="4D223B32"/>
    <w:rsid w:val="4D5A2B1B"/>
    <w:rsid w:val="4DAC5D2A"/>
    <w:rsid w:val="4ECA7A01"/>
    <w:rsid w:val="4EE505F0"/>
    <w:rsid w:val="4F100A39"/>
    <w:rsid w:val="4F272DC3"/>
    <w:rsid w:val="4F5B73D1"/>
    <w:rsid w:val="4F89408D"/>
    <w:rsid w:val="4F8D54F3"/>
    <w:rsid w:val="4F976C0B"/>
    <w:rsid w:val="50481668"/>
    <w:rsid w:val="506F791C"/>
    <w:rsid w:val="51D1552C"/>
    <w:rsid w:val="51EC6B3C"/>
    <w:rsid w:val="52337E49"/>
    <w:rsid w:val="52463E72"/>
    <w:rsid w:val="524747D3"/>
    <w:rsid w:val="52713B5E"/>
    <w:rsid w:val="528303DD"/>
    <w:rsid w:val="52BF450F"/>
    <w:rsid w:val="53C66876"/>
    <w:rsid w:val="53D71D82"/>
    <w:rsid w:val="55817093"/>
    <w:rsid w:val="55B3108E"/>
    <w:rsid w:val="56160E0B"/>
    <w:rsid w:val="562D65D5"/>
    <w:rsid w:val="563B7430"/>
    <w:rsid w:val="5659010B"/>
    <w:rsid w:val="56666088"/>
    <w:rsid w:val="56F61C90"/>
    <w:rsid w:val="579309E2"/>
    <w:rsid w:val="57A06EA8"/>
    <w:rsid w:val="582C5A2B"/>
    <w:rsid w:val="584E3261"/>
    <w:rsid w:val="59805019"/>
    <w:rsid w:val="59F80580"/>
    <w:rsid w:val="5A4448F5"/>
    <w:rsid w:val="5AD46483"/>
    <w:rsid w:val="5AD652AD"/>
    <w:rsid w:val="5B1D245A"/>
    <w:rsid w:val="5B373C9C"/>
    <w:rsid w:val="5B425D2C"/>
    <w:rsid w:val="5B54003F"/>
    <w:rsid w:val="5C755DA0"/>
    <w:rsid w:val="5C7F7528"/>
    <w:rsid w:val="5CEC12D4"/>
    <w:rsid w:val="5D191A98"/>
    <w:rsid w:val="5D2428B8"/>
    <w:rsid w:val="5D520FB6"/>
    <w:rsid w:val="5D755BA3"/>
    <w:rsid w:val="5D9B1088"/>
    <w:rsid w:val="5DAA4A8B"/>
    <w:rsid w:val="5DB82662"/>
    <w:rsid w:val="5DE975E6"/>
    <w:rsid w:val="5E8F32C0"/>
    <w:rsid w:val="5F401133"/>
    <w:rsid w:val="5F5312DA"/>
    <w:rsid w:val="5F597724"/>
    <w:rsid w:val="5FF3757F"/>
    <w:rsid w:val="60996CF0"/>
    <w:rsid w:val="60E04FB4"/>
    <w:rsid w:val="610E5498"/>
    <w:rsid w:val="61501E97"/>
    <w:rsid w:val="61847A55"/>
    <w:rsid w:val="61B43964"/>
    <w:rsid w:val="620D4506"/>
    <w:rsid w:val="62926680"/>
    <w:rsid w:val="62A7625B"/>
    <w:rsid w:val="63780F1A"/>
    <w:rsid w:val="63983C1A"/>
    <w:rsid w:val="63A17B15"/>
    <w:rsid w:val="63A271B9"/>
    <w:rsid w:val="63CD2F4A"/>
    <w:rsid w:val="641448F3"/>
    <w:rsid w:val="642E7C43"/>
    <w:rsid w:val="64A52EE9"/>
    <w:rsid w:val="64B3759B"/>
    <w:rsid w:val="64B66C14"/>
    <w:rsid w:val="654B3E73"/>
    <w:rsid w:val="654C12EB"/>
    <w:rsid w:val="66133574"/>
    <w:rsid w:val="66BD40A9"/>
    <w:rsid w:val="67540D79"/>
    <w:rsid w:val="67BF549B"/>
    <w:rsid w:val="680C6882"/>
    <w:rsid w:val="686C1254"/>
    <w:rsid w:val="68D73E1F"/>
    <w:rsid w:val="69497E1D"/>
    <w:rsid w:val="695F6485"/>
    <w:rsid w:val="6AED4CFD"/>
    <w:rsid w:val="6C170716"/>
    <w:rsid w:val="6C3872EE"/>
    <w:rsid w:val="6D6B39EB"/>
    <w:rsid w:val="6DE123D1"/>
    <w:rsid w:val="6E965E3F"/>
    <w:rsid w:val="6EB439B0"/>
    <w:rsid w:val="6EF41217"/>
    <w:rsid w:val="6F100F13"/>
    <w:rsid w:val="6FB61627"/>
    <w:rsid w:val="6FDF37F7"/>
    <w:rsid w:val="70456C1C"/>
    <w:rsid w:val="7148282A"/>
    <w:rsid w:val="718F3D0A"/>
    <w:rsid w:val="72551845"/>
    <w:rsid w:val="72586AB5"/>
    <w:rsid w:val="725C6CA3"/>
    <w:rsid w:val="72B419CF"/>
    <w:rsid w:val="755F2701"/>
    <w:rsid w:val="75EA0EE8"/>
    <w:rsid w:val="76921C0F"/>
    <w:rsid w:val="772201F2"/>
    <w:rsid w:val="775C6379"/>
    <w:rsid w:val="77E61C76"/>
    <w:rsid w:val="78171136"/>
    <w:rsid w:val="78DB62C8"/>
    <w:rsid w:val="79C15CF6"/>
    <w:rsid w:val="79CF3B1B"/>
    <w:rsid w:val="7A235085"/>
    <w:rsid w:val="7AAA2F92"/>
    <w:rsid w:val="7B895536"/>
    <w:rsid w:val="7BA03B4E"/>
    <w:rsid w:val="7C4D0A64"/>
    <w:rsid w:val="7C7225D5"/>
    <w:rsid w:val="7CBA536A"/>
    <w:rsid w:val="7D1F55E6"/>
    <w:rsid w:val="7D641DDF"/>
    <w:rsid w:val="7D693BAD"/>
    <w:rsid w:val="7D8B0CDD"/>
    <w:rsid w:val="7D8E5042"/>
    <w:rsid w:val="7DC03A6F"/>
    <w:rsid w:val="7EE06950"/>
    <w:rsid w:val="7F6512A0"/>
    <w:rsid w:val="7FAE3C9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semiHidden="0" w:name="heading 3"/>
    <w:lsdException w:qFormat="1" w:uiPriority="9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semiHidden="0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semiHidden="0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560" w:lineRule="exact"/>
      <w:ind w:firstLine="560" w:firstLineChars="200"/>
      <w:jc w:val="both"/>
    </w:pPr>
    <w:rPr>
      <w:rFonts w:ascii="Times New Roman" w:hAnsi="Times New Roman" w:eastAsia="仿宋" w:cs="宋体"/>
      <w:color w:val="000000"/>
      <w:kern w:val="2"/>
      <w:sz w:val="32"/>
      <w:szCs w:val="28"/>
      <w:lang w:val="en-US" w:eastAsia="zh-CN" w:bidi="ar-SA"/>
    </w:rPr>
  </w:style>
  <w:style w:type="paragraph" w:styleId="3">
    <w:name w:val="heading 1"/>
    <w:basedOn w:val="1"/>
    <w:next w:val="1"/>
    <w:link w:val="36"/>
    <w:qFormat/>
    <w:uiPriority w:val="0"/>
    <w:pPr>
      <w:keepNext/>
      <w:keepLines/>
      <w:outlineLvl w:val="0"/>
    </w:pPr>
    <w:rPr>
      <w:rFonts w:eastAsia="黑体" w:asciiTheme="minorHAnsi" w:hAnsiTheme="minorHAnsi" w:cstheme="minorBidi"/>
      <w:b/>
      <w:bCs/>
      <w:color w:val="auto"/>
      <w:kern w:val="44"/>
      <w:szCs w:val="44"/>
    </w:rPr>
  </w:style>
  <w:style w:type="paragraph" w:styleId="4">
    <w:name w:val="heading 2"/>
    <w:basedOn w:val="1"/>
    <w:next w:val="1"/>
    <w:link w:val="3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color w:val="auto"/>
      <w:szCs w:val="32"/>
    </w:rPr>
  </w:style>
  <w:style w:type="paragraph" w:styleId="5">
    <w:name w:val="heading 3"/>
    <w:basedOn w:val="1"/>
    <w:next w:val="1"/>
    <w:link w:val="37"/>
    <w:unhideWhenUsed/>
    <w:qFormat/>
    <w:uiPriority w:val="0"/>
    <w:pPr>
      <w:keepNext/>
      <w:keepLines/>
      <w:outlineLvl w:val="2"/>
    </w:pPr>
    <w:rPr>
      <w:b/>
      <w:bCs/>
      <w:szCs w:val="32"/>
    </w:rPr>
  </w:style>
  <w:style w:type="paragraph" w:styleId="6">
    <w:name w:val="heading 5"/>
    <w:basedOn w:val="1"/>
    <w:next w:val="1"/>
    <w:qFormat/>
    <w:uiPriority w:val="0"/>
    <w:pPr>
      <w:keepNext/>
      <w:outlineLvl w:val="4"/>
    </w:pPr>
    <w:rPr>
      <w:rFonts w:ascii="宋体" w:hAnsi="宋体"/>
      <w:b/>
      <w:bCs/>
      <w:sz w:val="24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unhideWhenUsed/>
    <w:qFormat/>
    <w:uiPriority w:val="99"/>
    <w:pPr>
      <w:spacing w:after="120"/>
    </w:pPr>
  </w:style>
  <w:style w:type="paragraph" w:styleId="7">
    <w:name w:val="toc 7"/>
    <w:basedOn w:val="1"/>
    <w:next w:val="1"/>
    <w:qFormat/>
    <w:uiPriority w:val="0"/>
    <w:pPr>
      <w:spacing w:line="360" w:lineRule="auto"/>
      <w:ind w:left="1800" w:firstLine="200"/>
      <w:jc w:val="left"/>
    </w:pPr>
    <w:rPr>
      <w:rFonts w:ascii="等线" w:hAnsi="等线" w:eastAsia="仿宋_GB2312" w:cs="Times New Roman"/>
      <w:color w:val="auto"/>
      <w:sz w:val="18"/>
      <w:szCs w:val="18"/>
    </w:rPr>
  </w:style>
  <w:style w:type="paragraph" w:styleId="8">
    <w:name w:val="Document Map"/>
    <w:basedOn w:val="1"/>
    <w:link w:val="39"/>
    <w:unhideWhenUsed/>
    <w:qFormat/>
    <w:uiPriority w:val="99"/>
    <w:rPr>
      <w:rFonts w:ascii="宋体"/>
      <w:sz w:val="18"/>
      <w:szCs w:val="18"/>
    </w:rPr>
  </w:style>
  <w:style w:type="paragraph" w:styleId="9">
    <w:name w:val="annotation text"/>
    <w:basedOn w:val="1"/>
    <w:link w:val="52"/>
    <w:qFormat/>
    <w:uiPriority w:val="0"/>
    <w:pPr>
      <w:spacing w:line="360" w:lineRule="auto"/>
      <w:ind w:firstLine="200"/>
      <w:jc w:val="left"/>
    </w:pPr>
    <w:rPr>
      <w:rFonts w:ascii="等线" w:hAnsi="等线" w:eastAsia="仿宋_GB2312" w:cs="Times New Roman"/>
      <w:color w:val="auto"/>
      <w:sz w:val="24"/>
      <w:szCs w:val="24"/>
    </w:rPr>
  </w:style>
  <w:style w:type="paragraph" w:styleId="10">
    <w:name w:val="Body Text Indent"/>
    <w:basedOn w:val="1"/>
    <w:link w:val="54"/>
    <w:qFormat/>
    <w:uiPriority w:val="99"/>
    <w:pPr>
      <w:ind w:firstLine="1200" w:firstLineChars="375"/>
    </w:pPr>
    <w:rPr>
      <w:rFonts w:ascii="等线" w:hAnsi="等线" w:eastAsia="仿宋_GB2312" w:cs="Times New Roman"/>
      <w:color w:val="auto"/>
      <w:szCs w:val="24"/>
    </w:rPr>
  </w:style>
  <w:style w:type="paragraph" w:styleId="11">
    <w:name w:val="toc 5"/>
    <w:basedOn w:val="1"/>
    <w:next w:val="1"/>
    <w:qFormat/>
    <w:uiPriority w:val="0"/>
    <w:pPr>
      <w:spacing w:line="360" w:lineRule="auto"/>
      <w:ind w:left="1200" w:firstLine="200"/>
      <w:jc w:val="left"/>
    </w:pPr>
    <w:rPr>
      <w:rFonts w:ascii="等线" w:hAnsi="等线" w:eastAsia="仿宋_GB2312" w:cs="Times New Roman"/>
      <w:color w:val="auto"/>
      <w:sz w:val="18"/>
      <w:szCs w:val="18"/>
    </w:rPr>
  </w:style>
  <w:style w:type="paragraph" w:styleId="12">
    <w:name w:val="toc 3"/>
    <w:basedOn w:val="1"/>
    <w:next w:val="1"/>
    <w:unhideWhenUsed/>
    <w:qFormat/>
    <w:uiPriority w:val="39"/>
    <w:pPr>
      <w:ind w:left="840" w:leftChars="400"/>
    </w:pPr>
  </w:style>
  <w:style w:type="paragraph" w:styleId="13">
    <w:name w:val="toc 8"/>
    <w:basedOn w:val="1"/>
    <w:next w:val="1"/>
    <w:qFormat/>
    <w:uiPriority w:val="0"/>
    <w:pPr>
      <w:spacing w:line="360" w:lineRule="auto"/>
      <w:ind w:left="2100" w:firstLine="200"/>
      <w:jc w:val="left"/>
    </w:pPr>
    <w:rPr>
      <w:rFonts w:ascii="等线" w:hAnsi="等线" w:eastAsia="仿宋_GB2312" w:cs="Times New Roman"/>
      <w:color w:val="auto"/>
      <w:sz w:val="18"/>
      <w:szCs w:val="18"/>
    </w:rPr>
  </w:style>
  <w:style w:type="paragraph" w:styleId="14">
    <w:name w:val="Date"/>
    <w:basedOn w:val="1"/>
    <w:next w:val="1"/>
    <w:link w:val="55"/>
    <w:unhideWhenUsed/>
    <w:qFormat/>
    <w:uiPriority w:val="99"/>
    <w:pPr>
      <w:spacing w:line="360" w:lineRule="auto"/>
      <w:ind w:left="100" w:leftChars="2500" w:firstLine="200"/>
    </w:pPr>
    <w:rPr>
      <w:rFonts w:ascii="等线" w:hAnsi="等线" w:eastAsia="仿宋_GB2312" w:cs="Times New Roman"/>
      <w:color w:val="auto"/>
      <w:sz w:val="24"/>
      <w:szCs w:val="24"/>
    </w:rPr>
  </w:style>
  <w:style w:type="paragraph" w:styleId="15">
    <w:name w:val="Balloon Text"/>
    <w:basedOn w:val="1"/>
    <w:link w:val="40"/>
    <w:unhideWhenUsed/>
    <w:qFormat/>
    <w:uiPriority w:val="0"/>
    <w:rPr>
      <w:sz w:val="18"/>
      <w:szCs w:val="18"/>
    </w:rPr>
  </w:style>
  <w:style w:type="paragraph" w:styleId="16">
    <w:name w:val="footer"/>
    <w:basedOn w:val="1"/>
    <w:link w:val="4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4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8">
    <w:name w:val="toc 1"/>
    <w:basedOn w:val="1"/>
    <w:next w:val="1"/>
    <w:unhideWhenUsed/>
    <w:qFormat/>
    <w:uiPriority w:val="39"/>
    <w:pPr>
      <w:tabs>
        <w:tab w:val="right" w:leader="dot" w:pos="8296"/>
      </w:tabs>
      <w:spacing w:line="360" w:lineRule="exact"/>
    </w:pPr>
    <w:rPr>
      <w:rFonts w:ascii="仿宋_GB2312" w:hAnsi="仿宋"/>
      <w:b/>
    </w:rPr>
  </w:style>
  <w:style w:type="paragraph" w:styleId="19">
    <w:name w:val="toc 4"/>
    <w:basedOn w:val="1"/>
    <w:next w:val="1"/>
    <w:qFormat/>
    <w:uiPriority w:val="0"/>
    <w:pPr>
      <w:tabs>
        <w:tab w:val="right" w:leader="dot" w:pos="8693"/>
      </w:tabs>
      <w:spacing w:line="300" w:lineRule="exact"/>
      <w:ind w:left="902" w:firstLine="200"/>
      <w:jc w:val="left"/>
    </w:pPr>
    <w:rPr>
      <w:rFonts w:ascii="等线" w:hAnsi="等线" w:eastAsia="仿宋_GB2312" w:cs="Times New Roman"/>
      <w:color w:val="auto"/>
      <w:szCs w:val="18"/>
    </w:rPr>
  </w:style>
  <w:style w:type="paragraph" w:styleId="20">
    <w:name w:val="Subtitle"/>
    <w:basedOn w:val="1"/>
    <w:next w:val="1"/>
    <w:link w:val="56"/>
    <w:qFormat/>
    <w:uiPriority w:val="11"/>
    <w:pPr>
      <w:spacing w:before="240" w:after="60" w:line="312" w:lineRule="auto"/>
      <w:jc w:val="center"/>
      <w:outlineLvl w:val="1"/>
    </w:pPr>
    <w:rPr>
      <w:rFonts w:ascii="Cambria" w:hAnsi="Cambria" w:eastAsia="等线" w:cs="Times New Roman"/>
      <w:b/>
      <w:bCs/>
      <w:color w:val="auto"/>
      <w:kern w:val="28"/>
      <w:sz w:val="20"/>
      <w:szCs w:val="32"/>
    </w:rPr>
  </w:style>
  <w:style w:type="paragraph" w:styleId="21">
    <w:name w:val="toc 6"/>
    <w:basedOn w:val="1"/>
    <w:next w:val="1"/>
    <w:qFormat/>
    <w:uiPriority w:val="0"/>
    <w:pPr>
      <w:spacing w:line="360" w:lineRule="auto"/>
      <w:ind w:left="1500" w:firstLine="200"/>
      <w:jc w:val="left"/>
    </w:pPr>
    <w:rPr>
      <w:rFonts w:ascii="等线" w:hAnsi="等线" w:eastAsia="仿宋_GB2312" w:cs="Times New Roman"/>
      <w:color w:val="auto"/>
      <w:sz w:val="18"/>
      <w:szCs w:val="18"/>
    </w:rPr>
  </w:style>
  <w:style w:type="paragraph" w:styleId="22">
    <w:name w:val="toc 2"/>
    <w:basedOn w:val="1"/>
    <w:next w:val="1"/>
    <w:unhideWhenUsed/>
    <w:qFormat/>
    <w:uiPriority w:val="39"/>
    <w:pPr>
      <w:ind w:left="420" w:leftChars="200"/>
    </w:pPr>
  </w:style>
  <w:style w:type="paragraph" w:styleId="23">
    <w:name w:val="toc 9"/>
    <w:basedOn w:val="1"/>
    <w:next w:val="1"/>
    <w:qFormat/>
    <w:uiPriority w:val="0"/>
    <w:pPr>
      <w:spacing w:line="360" w:lineRule="auto"/>
      <w:ind w:left="2400" w:firstLine="200"/>
      <w:jc w:val="left"/>
    </w:pPr>
    <w:rPr>
      <w:rFonts w:ascii="等线" w:hAnsi="等线" w:eastAsia="仿宋_GB2312" w:cs="Times New Roman"/>
      <w:color w:val="auto"/>
      <w:sz w:val="18"/>
      <w:szCs w:val="18"/>
    </w:rPr>
  </w:style>
  <w:style w:type="paragraph" w:styleId="24">
    <w:name w:val="HTML Preformatted"/>
    <w:basedOn w:val="1"/>
    <w:link w:val="43"/>
    <w:unhideWhenUsed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color w:val="auto"/>
      <w:kern w:val="0"/>
      <w:sz w:val="24"/>
      <w:szCs w:val="24"/>
    </w:rPr>
  </w:style>
  <w:style w:type="paragraph" w:styleId="2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color w:val="auto"/>
      <w:kern w:val="0"/>
      <w:sz w:val="24"/>
      <w:szCs w:val="24"/>
    </w:rPr>
  </w:style>
  <w:style w:type="paragraph" w:styleId="26">
    <w:name w:val="Title"/>
    <w:basedOn w:val="1"/>
    <w:next w:val="1"/>
    <w:link w:val="44"/>
    <w:qFormat/>
    <w:uiPriority w:val="10"/>
    <w:pPr>
      <w:spacing w:line="360" w:lineRule="auto"/>
      <w:ind w:firstLine="200"/>
      <w:jc w:val="left"/>
      <w:outlineLvl w:val="3"/>
    </w:pPr>
    <w:rPr>
      <w:rFonts w:ascii="Cambria" w:hAnsi="Cambria" w:eastAsia="仿宋_GB2312" w:cs="Times New Roman"/>
      <w:bCs/>
      <w:color w:val="auto"/>
      <w:sz w:val="24"/>
      <w:szCs w:val="32"/>
    </w:rPr>
  </w:style>
  <w:style w:type="paragraph" w:styleId="27">
    <w:name w:val="annotation subject"/>
    <w:basedOn w:val="9"/>
    <w:next w:val="9"/>
    <w:link w:val="57"/>
    <w:semiHidden/>
    <w:unhideWhenUsed/>
    <w:qFormat/>
    <w:uiPriority w:val="99"/>
    <w:rPr>
      <w:b/>
      <w:bCs/>
    </w:rPr>
  </w:style>
  <w:style w:type="table" w:styleId="29">
    <w:name w:val="Table Grid"/>
    <w:basedOn w:val="28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Strong"/>
    <w:basedOn w:val="30"/>
    <w:qFormat/>
    <w:uiPriority w:val="22"/>
    <w:rPr>
      <w:b/>
    </w:rPr>
  </w:style>
  <w:style w:type="character" w:styleId="32">
    <w:name w:val="page number"/>
    <w:basedOn w:val="30"/>
    <w:qFormat/>
    <w:uiPriority w:val="99"/>
    <w:rPr>
      <w:rFonts w:cs="Times New Roman"/>
    </w:rPr>
  </w:style>
  <w:style w:type="character" w:styleId="33">
    <w:name w:val="FollowedHyperlink"/>
    <w:basedOn w:val="30"/>
    <w:semiHidden/>
    <w:unhideWhenUsed/>
    <w:qFormat/>
    <w:uiPriority w:val="99"/>
    <w:rPr>
      <w:color w:val="800080"/>
      <w:u w:val="single"/>
    </w:rPr>
  </w:style>
  <w:style w:type="character" w:styleId="34">
    <w:name w:val="Hyperlink"/>
    <w:basedOn w:val="3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5">
    <w:name w:val="annotation reference"/>
    <w:basedOn w:val="30"/>
    <w:semiHidden/>
    <w:unhideWhenUsed/>
    <w:qFormat/>
    <w:uiPriority w:val="99"/>
    <w:rPr>
      <w:sz w:val="21"/>
      <w:szCs w:val="21"/>
    </w:rPr>
  </w:style>
  <w:style w:type="character" w:customStyle="1" w:styleId="36">
    <w:name w:val="标题 1 字符"/>
    <w:basedOn w:val="30"/>
    <w:link w:val="3"/>
    <w:qFormat/>
    <w:uiPriority w:val="0"/>
    <w:rPr>
      <w:rFonts w:eastAsia="黑体" w:asciiTheme="minorHAnsi" w:hAnsiTheme="minorHAnsi" w:cstheme="minorBidi"/>
      <w:b/>
      <w:bCs/>
      <w:color w:val="auto"/>
      <w:kern w:val="44"/>
      <w:sz w:val="32"/>
      <w:szCs w:val="44"/>
    </w:rPr>
  </w:style>
  <w:style w:type="character" w:customStyle="1" w:styleId="37">
    <w:name w:val="标题 3 字符"/>
    <w:basedOn w:val="30"/>
    <w:link w:val="5"/>
    <w:semiHidden/>
    <w:qFormat/>
    <w:uiPriority w:val="9"/>
    <w:rPr>
      <w:rFonts w:eastAsia="仿宋"/>
      <w:b/>
      <w:bCs/>
      <w:sz w:val="32"/>
      <w:szCs w:val="32"/>
    </w:rPr>
  </w:style>
  <w:style w:type="character" w:customStyle="1" w:styleId="38">
    <w:name w:val="标题 2 字符"/>
    <w:basedOn w:val="30"/>
    <w:link w:val="4"/>
    <w:qFormat/>
    <w:uiPriority w:val="9"/>
    <w:rPr>
      <w:rFonts w:asciiTheme="majorHAnsi" w:hAnsiTheme="majorHAnsi" w:eastAsiaTheme="majorEastAsia" w:cstheme="majorBidi"/>
      <w:b/>
      <w:bCs/>
      <w:color w:val="auto"/>
      <w:sz w:val="32"/>
      <w:szCs w:val="32"/>
    </w:rPr>
  </w:style>
  <w:style w:type="character" w:customStyle="1" w:styleId="39">
    <w:name w:val="文档结构图 字符"/>
    <w:basedOn w:val="30"/>
    <w:link w:val="8"/>
    <w:qFormat/>
    <w:uiPriority w:val="0"/>
    <w:rPr>
      <w:rFonts w:ascii="宋体"/>
      <w:sz w:val="18"/>
      <w:szCs w:val="18"/>
    </w:rPr>
  </w:style>
  <w:style w:type="character" w:customStyle="1" w:styleId="40">
    <w:name w:val="批注框文本 字符"/>
    <w:basedOn w:val="30"/>
    <w:link w:val="15"/>
    <w:qFormat/>
    <w:uiPriority w:val="0"/>
    <w:rPr>
      <w:sz w:val="18"/>
      <w:szCs w:val="18"/>
    </w:rPr>
  </w:style>
  <w:style w:type="character" w:customStyle="1" w:styleId="41">
    <w:name w:val="页脚 字符"/>
    <w:basedOn w:val="30"/>
    <w:link w:val="16"/>
    <w:qFormat/>
    <w:uiPriority w:val="99"/>
    <w:rPr>
      <w:sz w:val="18"/>
      <w:szCs w:val="18"/>
    </w:rPr>
  </w:style>
  <w:style w:type="character" w:customStyle="1" w:styleId="42">
    <w:name w:val="页眉 字符"/>
    <w:basedOn w:val="30"/>
    <w:link w:val="17"/>
    <w:qFormat/>
    <w:uiPriority w:val="99"/>
    <w:rPr>
      <w:sz w:val="18"/>
      <w:szCs w:val="18"/>
    </w:rPr>
  </w:style>
  <w:style w:type="character" w:customStyle="1" w:styleId="43">
    <w:name w:val="HTML 预设格式 字符"/>
    <w:basedOn w:val="30"/>
    <w:link w:val="24"/>
    <w:qFormat/>
    <w:uiPriority w:val="99"/>
    <w:rPr>
      <w:rFonts w:ascii="宋体" w:hAnsi="宋体"/>
      <w:color w:val="auto"/>
      <w:kern w:val="0"/>
      <w:sz w:val="24"/>
      <w:szCs w:val="24"/>
    </w:rPr>
  </w:style>
  <w:style w:type="character" w:customStyle="1" w:styleId="44">
    <w:name w:val="标题 字符"/>
    <w:basedOn w:val="30"/>
    <w:link w:val="26"/>
    <w:qFormat/>
    <w:uiPriority w:val="10"/>
    <w:rPr>
      <w:rFonts w:ascii="Cambria" w:hAnsi="Cambria" w:eastAsia="仿宋_GB2312" w:cs="Times New Roman"/>
      <w:bCs/>
      <w:color w:val="auto"/>
      <w:sz w:val="24"/>
      <w:szCs w:val="32"/>
    </w:rPr>
  </w:style>
  <w:style w:type="paragraph" w:styleId="45">
    <w:name w:val="List Paragraph"/>
    <w:basedOn w:val="1"/>
    <w:qFormat/>
    <w:uiPriority w:val="34"/>
    <w:pPr>
      <w:ind w:firstLine="420"/>
    </w:pPr>
    <w:rPr>
      <w:rFonts w:cstheme="minorBidi"/>
      <w:color w:val="auto"/>
      <w:szCs w:val="22"/>
    </w:rPr>
  </w:style>
  <w:style w:type="paragraph" w:customStyle="1" w:styleId="46">
    <w:name w:val="列出段落5"/>
    <w:basedOn w:val="1"/>
    <w:qFormat/>
    <w:uiPriority w:val="0"/>
    <w:pPr>
      <w:ind w:firstLine="420"/>
    </w:pPr>
    <w:rPr>
      <w:rFonts w:ascii="Calibri" w:hAnsi="Calibri"/>
      <w:color w:val="auto"/>
      <w:sz w:val="21"/>
      <w:szCs w:val="21"/>
    </w:rPr>
  </w:style>
  <w:style w:type="paragraph" w:customStyle="1" w:styleId="47">
    <w:name w:val="列出段落2"/>
    <w:basedOn w:val="1"/>
    <w:qFormat/>
    <w:uiPriority w:val="99"/>
    <w:pPr>
      <w:ind w:firstLine="420"/>
    </w:pPr>
    <w:rPr>
      <w:rFonts w:ascii="Calibri" w:hAnsi="Calibri"/>
      <w:color w:val="auto"/>
      <w:sz w:val="21"/>
      <w:szCs w:val="21"/>
    </w:rPr>
  </w:style>
  <w:style w:type="paragraph" w:customStyle="1" w:styleId="48">
    <w:name w:val="列出段落3"/>
    <w:basedOn w:val="1"/>
    <w:qFormat/>
    <w:uiPriority w:val="0"/>
    <w:pPr>
      <w:spacing w:line="360" w:lineRule="auto"/>
      <w:ind w:firstLine="420"/>
    </w:pPr>
    <w:rPr>
      <w:rFonts w:eastAsia="仿宋_GB2312" w:cs="Times New Roman"/>
      <w:color w:val="auto"/>
      <w:sz w:val="24"/>
      <w:szCs w:val="24"/>
    </w:rPr>
  </w:style>
  <w:style w:type="paragraph" w:customStyle="1" w:styleId="49">
    <w:name w:val="WPSOffice手动目录 1"/>
    <w:qFormat/>
    <w:uiPriority w:val="0"/>
    <w:rPr>
      <w:rFonts w:ascii="Calibri" w:hAnsi="Calibri" w:eastAsia="宋体" w:cs="Times New Roman"/>
      <w:lang w:val="en-US" w:eastAsia="zh-CN" w:bidi="ar-SA"/>
    </w:rPr>
  </w:style>
  <w:style w:type="paragraph" w:customStyle="1" w:styleId="50">
    <w:name w:val="WPSOffice手动目录 2"/>
    <w:qFormat/>
    <w:uiPriority w:val="0"/>
    <w:pPr>
      <w:ind w:left="200" w:leftChars="200"/>
    </w:pPr>
    <w:rPr>
      <w:rFonts w:ascii="Calibri" w:hAnsi="Calibri" w:eastAsia="宋体" w:cs="Times New Roman"/>
      <w:lang w:val="en-US" w:eastAsia="zh-CN" w:bidi="ar-SA"/>
    </w:rPr>
  </w:style>
  <w:style w:type="paragraph" w:customStyle="1" w:styleId="51">
    <w:name w:val="WPSOffice手动目录 3"/>
    <w:qFormat/>
    <w:uiPriority w:val="0"/>
    <w:pPr>
      <w:ind w:left="400" w:leftChars="400"/>
    </w:pPr>
    <w:rPr>
      <w:rFonts w:ascii="Calibri" w:hAnsi="Calibri" w:eastAsia="宋体" w:cs="Times New Roman"/>
      <w:lang w:val="en-US" w:eastAsia="zh-CN" w:bidi="ar-SA"/>
    </w:rPr>
  </w:style>
  <w:style w:type="character" w:customStyle="1" w:styleId="52">
    <w:name w:val="批注文字 字符"/>
    <w:link w:val="9"/>
    <w:qFormat/>
    <w:uiPriority w:val="0"/>
    <w:rPr>
      <w:rFonts w:ascii="等线" w:hAnsi="等线" w:eastAsia="仿宋_GB2312"/>
      <w:kern w:val="2"/>
      <w:sz w:val="24"/>
      <w:szCs w:val="24"/>
    </w:rPr>
  </w:style>
  <w:style w:type="character" w:customStyle="1" w:styleId="53">
    <w:name w:val="批注文字 Char"/>
    <w:basedOn w:val="30"/>
    <w:qFormat/>
    <w:uiPriority w:val="99"/>
    <w:rPr>
      <w:rFonts w:cs="宋体"/>
      <w:color w:val="000000"/>
      <w:kern w:val="2"/>
      <w:sz w:val="28"/>
      <w:szCs w:val="28"/>
    </w:rPr>
  </w:style>
  <w:style w:type="character" w:customStyle="1" w:styleId="54">
    <w:name w:val="正文文本缩进 字符"/>
    <w:basedOn w:val="30"/>
    <w:link w:val="10"/>
    <w:qFormat/>
    <w:uiPriority w:val="99"/>
    <w:rPr>
      <w:rFonts w:ascii="等线" w:hAnsi="等线" w:eastAsia="仿宋_GB2312"/>
      <w:kern w:val="2"/>
      <w:sz w:val="32"/>
      <w:szCs w:val="24"/>
    </w:rPr>
  </w:style>
  <w:style w:type="character" w:customStyle="1" w:styleId="55">
    <w:name w:val="日期 字符"/>
    <w:basedOn w:val="30"/>
    <w:link w:val="14"/>
    <w:qFormat/>
    <w:uiPriority w:val="99"/>
    <w:rPr>
      <w:rFonts w:ascii="等线" w:hAnsi="等线" w:eastAsia="仿宋_GB2312"/>
      <w:kern w:val="2"/>
      <w:sz w:val="24"/>
      <w:szCs w:val="24"/>
    </w:rPr>
  </w:style>
  <w:style w:type="character" w:customStyle="1" w:styleId="56">
    <w:name w:val="副标题 字符"/>
    <w:basedOn w:val="30"/>
    <w:link w:val="20"/>
    <w:qFormat/>
    <w:uiPriority w:val="11"/>
    <w:rPr>
      <w:rFonts w:ascii="Cambria" w:hAnsi="Cambria" w:eastAsia="等线"/>
      <w:b/>
      <w:bCs/>
      <w:kern w:val="28"/>
      <w:szCs w:val="32"/>
    </w:rPr>
  </w:style>
  <w:style w:type="character" w:customStyle="1" w:styleId="57">
    <w:name w:val="批注主题 字符"/>
    <w:basedOn w:val="52"/>
    <w:link w:val="27"/>
    <w:semiHidden/>
    <w:qFormat/>
    <w:uiPriority w:val="99"/>
    <w:rPr>
      <w:rFonts w:ascii="等线" w:hAnsi="等线" w:eastAsia="仿宋_GB2312"/>
      <w:b/>
      <w:bCs/>
      <w:kern w:val="2"/>
      <w:sz w:val="24"/>
      <w:szCs w:val="24"/>
    </w:rPr>
  </w:style>
  <w:style w:type="character" w:customStyle="1" w:styleId="58">
    <w:name w:val="批注主题 Char"/>
    <w:basedOn w:val="53"/>
    <w:link w:val="59"/>
    <w:qFormat/>
    <w:uiPriority w:val="0"/>
    <w:rPr>
      <w:rFonts w:cs="宋体"/>
      <w:b/>
      <w:bCs/>
      <w:color w:val="000000"/>
      <w:kern w:val="2"/>
      <w:sz w:val="28"/>
      <w:szCs w:val="28"/>
    </w:rPr>
  </w:style>
  <w:style w:type="paragraph" w:customStyle="1" w:styleId="59">
    <w:name w:val="批注主题1"/>
    <w:basedOn w:val="9"/>
    <w:next w:val="9"/>
    <w:link w:val="58"/>
    <w:qFormat/>
    <w:uiPriority w:val="0"/>
    <w:rPr>
      <w:rFonts w:ascii="Times New Roman" w:hAnsi="Times New Roman" w:eastAsia="宋体" w:cs="宋体"/>
      <w:b/>
      <w:bCs/>
      <w:color w:val="000000"/>
      <w:sz w:val="28"/>
      <w:szCs w:val="28"/>
    </w:rPr>
  </w:style>
  <w:style w:type="character" w:customStyle="1" w:styleId="60">
    <w:name w:val="apple-converted-space"/>
    <w:basedOn w:val="30"/>
    <w:qFormat/>
    <w:uiPriority w:val="0"/>
  </w:style>
  <w:style w:type="character" w:customStyle="1" w:styleId="61">
    <w:name w:val="页码1"/>
    <w:basedOn w:val="30"/>
    <w:qFormat/>
    <w:uiPriority w:val="0"/>
  </w:style>
  <w:style w:type="character" w:customStyle="1" w:styleId="62">
    <w:name w:val="批注引用1"/>
    <w:qFormat/>
    <w:uiPriority w:val="0"/>
    <w:rPr>
      <w:sz w:val="21"/>
      <w:szCs w:val="21"/>
    </w:rPr>
  </w:style>
  <w:style w:type="paragraph" w:customStyle="1" w:styleId="63">
    <w:name w:val="文档结构图1"/>
    <w:basedOn w:val="1"/>
    <w:qFormat/>
    <w:uiPriority w:val="0"/>
    <w:pPr>
      <w:spacing w:line="360" w:lineRule="auto"/>
      <w:ind w:firstLine="200"/>
    </w:pPr>
    <w:rPr>
      <w:rFonts w:ascii="宋体" w:hAnsi="等线" w:eastAsia="等线" w:cs="Times New Roman"/>
      <w:color w:val="auto"/>
      <w:sz w:val="18"/>
      <w:szCs w:val="18"/>
    </w:rPr>
  </w:style>
  <w:style w:type="paragraph" w:customStyle="1" w:styleId="64">
    <w:name w:val="_Style 1"/>
    <w:basedOn w:val="1"/>
    <w:qFormat/>
    <w:uiPriority w:val="0"/>
    <w:pPr>
      <w:spacing w:line="360" w:lineRule="auto"/>
      <w:ind w:firstLine="200"/>
    </w:pPr>
    <w:rPr>
      <w:rFonts w:ascii="等线" w:hAnsi="等线" w:cs="Times New Roman"/>
      <w:color w:val="auto"/>
      <w:sz w:val="21"/>
      <w:szCs w:val="24"/>
    </w:rPr>
  </w:style>
  <w:style w:type="paragraph" w:customStyle="1" w:styleId="65">
    <w:name w:val="p16"/>
    <w:basedOn w:val="1"/>
    <w:qFormat/>
    <w:uiPriority w:val="0"/>
    <w:pPr>
      <w:widowControl/>
      <w:ind w:firstLine="420"/>
    </w:pPr>
    <w:rPr>
      <w:rFonts w:ascii="Calibri" w:hAnsi="Calibri"/>
      <w:color w:val="auto"/>
      <w:kern w:val="0"/>
      <w:sz w:val="21"/>
      <w:szCs w:val="21"/>
    </w:rPr>
  </w:style>
  <w:style w:type="paragraph" w:customStyle="1" w:styleId="66">
    <w:name w:val="日期1"/>
    <w:basedOn w:val="1"/>
    <w:next w:val="1"/>
    <w:qFormat/>
    <w:uiPriority w:val="0"/>
    <w:pPr>
      <w:spacing w:line="360" w:lineRule="auto"/>
      <w:ind w:left="100" w:leftChars="2500" w:firstLine="200"/>
    </w:pPr>
    <w:rPr>
      <w:rFonts w:ascii="等线" w:hAnsi="等线" w:cs="Times New Roman"/>
      <w:color w:val="auto"/>
      <w:sz w:val="21"/>
      <w:szCs w:val="24"/>
    </w:rPr>
  </w:style>
  <w:style w:type="paragraph" w:customStyle="1" w:styleId="67">
    <w:name w:val="列出段落4"/>
    <w:basedOn w:val="1"/>
    <w:qFormat/>
    <w:uiPriority w:val="0"/>
    <w:pPr>
      <w:ind w:firstLine="420"/>
    </w:pPr>
    <w:rPr>
      <w:rFonts w:ascii="Calibri" w:hAnsi="Calibri"/>
      <w:color w:val="auto"/>
      <w:sz w:val="21"/>
      <w:szCs w:val="21"/>
    </w:rPr>
  </w:style>
  <w:style w:type="paragraph" w:customStyle="1" w:styleId="68">
    <w:name w:val="无间隔1"/>
    <w:qFormat/>
    <w:uiPriority w:val="0"/>
    <w:pPr>
      <w:widowControl w:val="0"/>
      <w:spacing w:line="360" w:lineRule="auto"/>
      <w:ind w:firstLine="200" w:firstLineChars="200"/>
      <w:outlineLvl w:val="2"/>
    </w:pPr>
    <w:rPr>
      <w:rFonts w:ascii="等线" w:hAnsi="等线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69">
    <w:name w:val="修订11"/>
    <w:qFormat/>
    <w:uiPriority w:val="0"/>
    <w:rPr>
      <w:rFonts w:ascii="等线" w:hAnsi="等线" w:eastAsia="仿宋_GB2312" w:cs="Times New Roman"/>
      <w:kern w:val="2"/>
      <w:sz w:val="24"/>
      <w:szCs w:val="24"/>
      <w:lang w:val="en-US" w:eastAsia="zh-CN" w:bidi="ar-SA"/>
    </w:rPr>
  </w:style>
  <w:style w:type="paragraph" w:customStyle="1" w:styleId="70">
    <w:name w:val="reader-word-layer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auto"/>
      <w:kern w:val="0"/>
      <w:sz w:val="24"/>
      <w:szCs w:val="24"/>
    </w:rPr>
  </w:style>
  <w:style w:type="paragraph" w:customStyle="1" w:styleId="71">
    <w:name w:val="TOC 标题1"/>
    <w:basedOn w:val="3"/>
    <w:next w:val="1"/>
    <w:qFormat/>
    <w:uiPriority w:val="0"/>
    <w:pPr>
      <w:widowControl/>
      <w:adjustRightInd w:val="0"/>
      <w:snapToGrid w:val="0"/>
      <w:spacing w:before="48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30"/>
      <w:szCs w:val="28"/>
    </w:rPr>
  </w:style>
  <w:style w:type="paragraph" w:customStyle="1" w:styleId="72">
    <w:name w:val="列出段落1"/>
    <w:basedOn w:val="1"/>
    <w:qFormat/>
    <w:uiPriority w:val="0"/>
    <w:pPr>
      <w:spacing w:line="360" w:lineRule="auto"/>
      <w:ind w:firstLine="420"/>
    </w:pPr>
    <w:rPr>
      <w:rFonts w:ascii="等线" w:hAnsi="等线" w:eastAsia="仿宋_GB2312" w:cs="Times New Roman"/>
      <w:color w:val="auto"/>
      <w:sz w:val="24"/>
      <w:szCs w:val="24"/>
    </w:rPr>
  </w:style>
  <w:style w:type="paragraph" w:customStyle="1" w:styleId="73">
    <w:name w:val="TOC 标题2"/>
    <w:basedOn w:val="3"/>
    <w:next w:val="1"/>
    <w:unhideWhenUsed/>
    <w:qFormat/>
    <w:uiPriority w:val="39"/>
    <w:pPr>
      <w:widowControl/>
      <w:adjustRightInd w:val="0"/>
      <w:snapToGrid w:val="0"/>
      <w:spacing w:before="48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 w:val="30"/>
      <w:szCs w:val="28"/>
    </w:rPr>
  </w:style>
  <w:style w:type="character" w:customStyle="1" w:styleId="74">
    <w:name w:val="Body text|1_"/>
    <w:basedOn w:val="30"/>
    <w:link w:val="75"/>
    <w:qFormat/>
    <w:uiPriority w:val="0"/>
    <w:rPr>
      <w:rFonts w:ascii="宋体" w:hAnsi="宋体" w:cs="宋体"/>
      <w:sz w:val="28"/>
      <w:szCs w:val="28"/>
      <w:lang w:val="zh-TW" w:eastAsia="zh-TW" w:bidi="zh-TW"/>
    </w:rPr>
  </w:style>
  <w:style w:type="paragraph" w:customStyle="1" w:styleId="75">
    <w:name w:val="Body text|1"/>
    <w:basedOn w:val="1"/>
    <w:link w:val="74"/>
    <w:qFormat/>
    <w:uiPriority w:val="0"/>
    <w:pPr>
      <w:spacing w:line="406" w:lineRule="auto"/>
      <w:ind w:firstLine="400"/>
      <w:jc w:val="left"/>
    </w:pPr>
    <w:rPr>
      <w:rFonts w:ascii="宋体" w:hAnsi="宋体"/>
      <w:color w:val="auto"/>
      <w:kern w:val="0"/>
      <w:lang w:val="zh-TW" w:eastAsia="zh-TW" w:bidi="zh-TW"/>
    </w:rPr>
  </w:style>
  <w:style w:type="paragraph" w:customStyle="1" w:styleId="76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auto"/>
      <w:kern w:val="0"/>
      <w:sz w:val="18"/>
      <w:szCs w:val="18"/>
    </w:rPr>
  </w:style>
  <w:style w:type="paragraph" w:customStyle="1" w:styleId="77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color w:val="auto"/>
      <w:kern w:val="0"/>
      <w:sz w:val="24"/>
      <w:szCs w:val="24"/>
    </w:rPr>
  </w:style>
  <w:style w:type="paragraph" w:customStyle="1" w:styleId="78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b/>
      <w:bCs/>
      <w:color w:val="auto"/>
      <w:kern w:val="0"/>
      <w:sz w:val="24"/>
      <w:szCs w:val="24"/>
    </w:rPr>
  </w:style>
  <w:style w:type="paragraph" w:customStyle="1" w:styleId="79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宋体" w:hAnsi="宋体"/>
      <w:color w:val="auto"/>
      <w:kern w:val="0"/>
      <w:sz w:val="24"/>
      <w:szCs w:val="24"/>
    </w:rPr>
  </w:style>
  <w:style w:type="paragraph" w:customStyle="1" w:styleId="80">
    <w:name w:val="xl80"/>
    <w:basedOn w:val="1"/>
    <w:qFormat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color w:val="auto"/>
      <w:kern w:val="0"/>
      <w:sz w:val="24"/>
      <w:szCs w:val="24"/>
    </w:rPr>
  </w:style>
  <w:style w:type="paragraph" w:customStyle="1" w:styleId="81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b/>
      <w:bCs/>
      <w:color w:val="auto"/>
      <w:kern w:val="0"/>
      <w:sz w:val="54"/>
      <w:szCs w:val="54"/>
    </w:rPr>
  </w:style>
  <w:style w:type="paragraph" w:customStyle="1" w:styleId="82">
    <w:name w:val="xl6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/>
      <w:color w:val="auto"/>
      <w:kern w:val="0"/>
      <w:sz w:val="24"/>
      <w:szCs w:val="24"/>
    </w:rPr>
  </w:style>
  <w:style w:type="paragraph" w:customStyle="1" w:styleId="83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color w:val="auto"/>
      <w:kern w:val="0"/>
      <w:sz w:val="22"/>
      <w:szCs w:val="22"/>
    </w:rPr>
  </w:style>
  <w:style w:type="paragraph" w:customStyle="1" w:styleId="84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/>
      <w:b/>
      <w:bCs/>
      <w:color w:val="auto"/>
      <w:kern w:val="0"/>
      <w:sz w:val="22"/>
      <w:szCs w:val="22"/>
    </w:rPr>
  </w:style>
  <w:style w:type="character" w:customStyle="1" w:styleId="85">
    <w:name w:val="文档结构图 Char1"/>
    <w:semiHidden/>
    <w:qFormat/>
    <w:uiPriority w:val="99"/>
    <w:rPr>
      <w:rFonts w:ascii="宋体"/>
      <w:kern w:val="2"/>
      <w:sz w:val="18"/>
      <w:szCs w:val="18"/>
    </w:rPr>
  </w:style>
  <w:style w:type="paragraph" w:customStyle="1" w:styleId="86">
    <w:name w:val="修订1"/>
    <w:semiHidden/>
    <w:qFormat/>
    <w:uiPriority w:val="99"/>
    <w:rPr>
      <w:rFonts w:ascii="等线" w:hAnsi="等线" w:eastAsia="仿宋_GB2312" w:cs="Times New Roman"/>
      <w:kern w:val="2"/>
      <w:sz w:val="24"/>
      <w:szCs w:val="24"/>
      <w:lang w:val="en-US" w:eastAsia="zh-CN" w:bidi="ar-SA"/>
    </w:rPr>
  </w:style>
  <w:style w:type="character" w:customStyle="1" w:styleId="87">
    <w:name w:val="font41"/>
    <w:basedOn w:val="3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88">
    <w:name w:val="font11"/>
    <w:basedOn w:val="30"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89">
    <w:name w:val="font71"/>
    <w:basedOn w:val="30"/>
    <w:qFormat/>
    <w:uiPriority w:val="0"/>
    <w:rPr>
      <w:rFonts w:hint="eastAsia" w:ascii="仿宋" w:hAnsi="仿宋" w:eastAsia="仿宋" w:cs="仿宋"/>
      <w:color w:val="FF0000"/>
      <w:sz w:val="20"/>
      <w:szCs w:val="20"/>
      <w:u w:val="none"/>
    </w:rPr>
  </w:style>
  <w:style w:type="character" w:customStyle="1" w:styleId="90">
    <w:name w:val="font21"/>
    <w:basedOn w:val="30"/>
    <w:qFormat/>
    <w:uiPriority w:val="0"/>
    <w:rPr>
      <w:rFonts w:hint="eastAsia" w:ascii="仿宋" w:hAnsi="仿宋" w:eastAsia="仿宋" w:cs="仿宋"/>
      <w:color w:val="ED7D31"/>
      <w:sz w:val="20"/>
      <w:szCs w:val="20"/>
      <w:u w:val="none"/>
    </w:rPr>
  </w:style>
  <w:style w:type="character" w:customStyle="1" w:styleId="91">
    <w:name w:val="font51"/>
    <w:basedOn w:val="3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92">
    <w:name w:val="font31"/>
    <w:basedOn w:val="30"/>
    <w:qFormat/>
    <w:uiPriority w:val="0"/>
    <w:rPr>
      <w:rFonts w:hint="eastAsia" w:ascii="仿宋" w:hAnsi="仿宋" w:eastAsia="仿宋" w:cs="仿宋"/>
      <w:color w:val="0070C0"/>
      <w:sz w:val="20"/>
      <w:szCs w:val="20"/>
      <w:u w:val="none"/>
    </w:rPr>
  </w:style>
  <w:style w:type="character" w:customStyle="1" w:styleId="93">
    <w:name w:val="font91"/>
    <w:basedOn w:val="30"/>
    <w:qFormat/>
    <w:uiPriority w:val="0"/>
    <w:rPr>
      <w:rFonts w:ascii="Wingdings" w:hAnsi="Wingdings" w:cs="Wingdings"/>
      <w:color w:val="000000"/>
      <w:sz w:val="20"/>
      <w:szCs w:val="20"/>
      <w:u w:val="none"/>
    </w:rPr>
  </w:style>
  <w:style w:type="character" w:customStyle="1" w:styleId="94">
    <w:name w:val="font61"/>
    <w:basedOn w:val="30"/>
    <w:qFormat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95">
    <w:name w:val="font81"/>
    <w:basedOn w:val="3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  <w:style w:type="character" w:customStyle="1" w:styleId="96">
    <w:name w:val="font01"/>
    <w:basedOn w:val="30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5D982-CC96-4AA7-8216-1019302448E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10</Pages>
  <Words>3460</Words>
  <Characters>3837</Characters>
  <Lines>23</Lines>
  <Paragraphs>6</Paragraphs>
  <TotalTime>0</TotalTime>
  <ScaleCrop>false</ScaleCrop>
  <LinksUpToDate>false</LinksUpToDate>
  <CharactersWithSpaces>3936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2019-05-09T06:51:00Z</dcterms:created>
  <dc:creator>pc</dc:creator>
  <cp:lastModifiedBy>丫丫</cp:lastModifiedBy>
  <cp:lastPrinted>2023-04-25T07:55:00Z</cp:lastPrinted>
  <dcterms:modified xsi:type="dcterms:W3CDTF">2023-04-27T05:50:30Z</dcterms:modified>
  <cp:revision>234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5F2BE19DB3CD40A59E3F3BDFBAFD4983</vt:lpwstr>
  </property>
</Properties>
</file>